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Times New Roman" w:hAnsi="Times New Roman" w:eastAsia="方正小标宋_GBK"/>
          <w:sz w:val="36"/>
          <w:szCs w:val="28"/>
        </w:rPr>
      </w:pPr>
      <w:r>
        <w:rPr>
          <w:rFonts w:ascii="Times New Roman" w:hAnsi="Times New Roman" w:eastAsia="方正小标宋_GBK"/>
          <w:sz w:val="36"/>
          <w:szCs w:val="28"/>
        </w:rPr>
        <w:t>收购承诺函</w:t>
      </w:r>
    </w:p>
    <w:p>
      <w:pPr>
        <w:spacing w:line="500" w:lineRule="exact"/>
        <w:jc w:val="center"/>
        <w:rPr>
          <w:rFonts w:hint="eastAsia" w:ascii="Times New Roman" w:hAnsi="Times New Roman" w:eastAsia="方正小标宋_GBK"/>
          <w:sz w:val="36"/>
          <w:szCs w:val="28"/>
        </w:rPr>
      </w:pPr>
    </w:p>
    <w:p>
      <w:pPr>
        <w:adjustRightInd w:val="0"/>
        <w:snapToGrid w:val="0"/>
        <w:spacing w:line="500" w:lineRule="exact"/>
        <w:rPr>
          <w:rFonts w:ascii="Times New Roman" w:hAnsi="Times New Roman" w:eastAsia="方正仿宋_GBK"/>
          <w:sz w:val="28"/>
          <w:szCs w:val="28"/>
        </w:rPr>
      </w:pPr>
      <w:r>
        <w:rPr>
          <w:rFonts w:ascii="Times New Roman" w:hAnsi="Times New Roman" w:eastAsia="方正仿宋_GBK"/>
          <w:sz w:val="28"/>
          <w:szCs w:val="28"/>
        </w:rPr>
        <w:t>江苏省文化产权交易所有限公司：</w:t>
      </w:r>
    </w:p>
    <w:p>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我方决定报名收购</w:t>
      </w:r>
      <w:r>
        <w:rPr>
          <w:rFonts w:ascii="Times New Roman" w:hAnsi="Times New Roman" w:eastAsia="方正仿宋_GBK"/>
          <w:sz w:val="28"/>
          <w:szCs w:val="28"/>
          <w:u w:val="single"/>
        </w:rPr>
        <w:t xml:space="preserve">        XX       公司   XX 万股股份（对应 XX 万元出资额）</w:t>
      </w:r>
      <w:r>
        <w:rPr>
          <w:rFonts w:ascii="Times New Roman" w:hAnsi="Times New Roman" w:eastAsia="方正仿宋_GBK"/>
          <w:kern w:val="0"/>
          <w:sz w:val="28"/>
          <w:szCs w:val="28"/>
        </w:rPr>
        <w:t>，</w:t>
      </w:r>
      <w:r>
        <w:rPr>
          <w:rFonts w:ascii="Times New Roman" w:hAnsi="Times New Roman" w:eastAsia="方正仿宋_GBK"/>
          <w:sz w:val="28"/>
          <w:szCs w:val="28"/>
        </w:rPr>
        <w:t>现就有关事项承诺如下：</w:t>
      </w:r>
    </w:p>
    <w:p>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1、拟以不低于人民币        万元价格收购      XX     有限公司通过江苏省文化产权交易所有限公司公开转让的   万股股份（对应 XX 万元出资额）；</w:t>
      </w:r>
    </w:p>
    <w:p>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 xml:space="preserve">2、完全知悉并接受“XX有限公司XX万股股份转让公告”（项目编号：           ）、评估报告（文件编号）、审计报告（文件编号）及国有产权转让合同等文件所列的所有内容和条件； </w:t>
      </w:r>
    </w:p>
    <w:p>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3、决定报名参与本次收购是我方基于对本次产权转让有关资料和信息的充分了解、认同并接受标的企业及产权的现状并已履行了必要的内部决策程序和外部批准程序后作出的，是我方真实意愿的表示；</w:t>
      </w:r>
    </w:p>
    <w:p>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4、我方提供的全部资料是合法、真实、有效的，不存在任何遗漏和虚假；</w:t>
      </w:r>
    </w:p>
    <w:p>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5、如我方成为受让方，不存在妨碍我方成为XX有限公司合法股东的任何障碍；</w:t>
      </w:r>
    </w:p>
    <w:p>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6、收购资金来源合法，且能合法用于本次收购；</w:t>
      </w:r>
    </w:p>
    <w:p>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7、已完全知悉并严格遵守企业国有产权交易的相关法律法规的规定和江苏省文化产权交易所有限公司的相关规则，按照有关要求履行我方义务；</w:t>
      </w:r>
    </w:p>
    <w:p>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8、我方知悉并遵守产权电子竞价系统的各类规则，对我方产权电子竞价系统账号和密码下进行的行为和发生的事件负责；</w:t>
      </w:r>
    </w:p>
    <w:p>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9、对于参与本次收购过程中，获取的所有书面和非书面资料及信息，仅作为本次收购之用途，不用于本次收购之外的任何其他目的，也不会以任何形式提供给任何第三方；</w:t>
      </w:r>
    </w:p>
    <w:p>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10、一旦被江苏省文化产权交易所有限公司确定为受让方，在三个工作日内按下列标准向江苏省文化产权交易所有限公司交纳交易服务费用：</w:t>
      </w:r>
    </w:p>
    <w:p>
      <w:pPr>
        <w:adjustRightInd w:val="0"/>
        <w:snapToGrid w:val="0"/>
        <w:spacing w:line="440" w:lineRule="exact"/>
        <w:ind w:firstLine="560" w:firstLineChars="200"/>
        <w:rPr>
          <w:rFonts w:ascii="Times New Roman" w:hAnsi="Times New Roman" w:eastAsia="方正仿宋_GBK"/>
          <w:sz w:val="28"/>
          <w:szCs w:val="28"/>
        </w:rPr>
      </w:pPr>
    </w:p>
    <w:tbl>
      <w:tblPr>
        <w:tblStyle w:val="4"/>
        <w:tblW w:w="10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3996"/>
        <w:gridCol w:w="1933"/>
        <w:gridCol w:w="1764"/>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0203" w:type="dxa"/>
            <w:gridSpan w:val="5"/>
          </w:tcPr>
          <w:p>
            <w:pPr>
              <w:widowControl/>
              <w:spacing w:line="400" w:lineRule="exact"/>
              <w:jc w:val="center"/>
              <w:rPr>
                <w:rFonts w:ascii="Times New Roman" w:hAnsi="Times New Roman" w:eastAsia="方正仿宋_GBK"/>
                <w:b/>
                <w:sz w:val="24"/>
                <w:szCs w:val="24"/>
              </w:rPr>
            </w:pPr>
            <w:r>
              <w:rPr>
                <w:rFonts w:hint="eastAsia" w:ascii="Times New Roman" w:hAnsi="Times New Roman" w:eastAsia="方正仿宋_GBK"/>
                <w:b/>
                <w:sz w:val="24"/>
                <w:szCs w:val="24"/>
              </w:rPr>
              <w:t>一、</w:t>
            </w:r>
            <w:r>
              <w:rPr>
                <w:rFonts w:hint="eastAsia" w:ascii="黑体" w:hAnsi="黑体" w:eastAsia="黑体" w:cs="黑体"/>
                <w:b w:val="0"/>
                <w:bCs/>
                <w:sz w:val="24"/>
                <w:szCs w:val="24"/>
                <w:highlight w:val="none"/>
              </w:rPr>
              <w:t>国有</w:t>
            </w:r>
            <w:r>
              <w:rPr>
                <w:rFonts w:hint="eastAsia" w:ascii="黑体" w:hAnsi="黑体" w:eastAsia="黑体" w:cs="黑体"/>
                <w:b w:val="0"/>
                <w:bCs/>
                <w:sz w:val="24"/>
                <w:szCs w:val="24"/>
                <w:highlight w:val="none"/>
                <w:lang w:val="en-US" w:eastAsia="zh-CN"/>
              </w:rPr>
              <w:t>资产交易</w:t>
            </w:r>
            <w:r>
              <w:rPr>
                <w:rFonts w:hint="eastAsia" w:ascii="黑体" w:hAnsi="黑体" w:eastAsia="黑体" w:cs="黑体"/>
                <w:b w:val="0"/>
                <w:bCs/>
                <w:sz w:val="24"/>
                <w:szCs w:val="24"/>
                <w:highlight w:val="none"/>
              </w:rPr>
              <w:t>项目服务收费标准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13"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序号</w:t>
            </w:r>
          </w:p>
        </w:tc>
        <w:tc>
          <w:tcPr>
            <w:tcW w:w="3996"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计费金额（成交金额）分档</w:t>
            </w:r>
          </w:p>
        </w:tc>
        <w:tc>
          <w:tcPr>
            <w:tcW w:w="1933"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按协议方式交易</w:t>
            </w:r>
          </w:p>
        </w:tc>
        <w:tc>
          <w:tcPr>
            <w:tcW w:w="3561" w:type="dxa"/>
            <w:gridSpan w:val="2"/>
            <w:tcBorders>
              <w:top w:val="single" w:color="auto" w:sz="4" w:space="0"/>
              <w:left w:val="nil"/>
              <w:bottom w:val="single" w:color="auto" w:sz="4" w:space="0"/>
              <w:right w:val="single" w:color="000000" w:sz="4" w:space="0"/>
            </w:tcBorders>
            <w:shd w:val="clear" w:color="000000" w:fill="FFFFFF"/>
            <w:vAlign w:val="center"/>
          </w:tcPr>
          <w:p>
            <w:pPr>
              <w:widowControl/>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按竞价方式交易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1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400" w:lineRule="exact"/>
              <w:jc w:val="left"/>
              <w:rPr>
                <w:rFonts w:ascii="Times New Roman" w:hAnsi="Times New Roman" w:eastAsia="方正仿宋_GBK"/>
                <w:sz w:val="24"/>
                <w:szCs w:val="24"/>
              </w:rPr>
            </w:pPr>
          </w:p>
        </w:tc>
        <w:tc>
          <w:tcPr>
            <w:tcW w:w="3996"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400" w:lineRule="exact"/>
              <w:jc w:val="left"/>
              <w:rPr>
                <w:rFonts w:ascii="Times New Roman" w:hAnsi="Times New Roman" w:eastAsia="方正仿宋_GBK"/>
                <w:sz w:val="24"/>
                <w:szCs w:val="24"/>
              </w:rPr>
            </w:pPr>
          </w:p>
        </w:tc>
        <w:tc>
          <w:tcPr>
            <w:tcW w:w="193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400" w:lineRule="exact"/>
              <w:jc w:val="left"/>
              <w:rPr>
                <w:rFonts w:ascii="Times New Roman" w:hAnsi="Times New Roman" w:eastAsia="方正仿宋_GBK"/>
                <w:sz w:val="24"/>
                <w:szCs w:val="24"/>
              </w:rPr>
            </w:pPr>
          </w:p>
        </w:tc>
        <w:tc>
          <w:tcPr>
            <w:tcW w:w="3561" w:type="dxa"/>
            <w:gridSpan w:val="2"/>
            <w:tcBorders>
              <w:top w:val="single" w:color="auto" w:sz="4" w:space="0"/>
              <w:left w:val="nil"/>
              <w:bottom w:val="single" w:color="auto" w:sz="4" w:space="0"/>
              <w:right w:val="single" w:color="000000" w:sz="4" w:space="0"/>
            </w:tcBorders>
            <w:shd w:val="clear" w:color="000000" w:fill="FFFFFF"/>
            <w:vAlign w:val="center"/>
          </w:tcPr>
          <w:p>
            <w:pPr>
              <w:widowControl/>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（在协议方式收费基础上加收）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713"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400" w:lineRule="exact"/>
              <w:jc w:val="left"/>
              <w:rPr>
                <w:rFonts w:ascii="Times New Roman" w:hAnsi="Times New Roman" w:eastAsia="方正仿宋_GBK"/>
                <w:sz w:val="24"/>
                <w:szCs w:val="24"/>
              </w:rPr>
            </w:pPr>
          </w:p>
        </w:tc>
        <w:tc>
          <w:tcPr>
            <w:tcW w:w="3996"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400" w:lineRule="exact"/>
              <w:jc w:val="left"/>
              <w:rPr>
                <w:rFonts w:ascii="Times New Roman" w:hAnsi="Times New Roman" w:eastAsia="方正仿宋_GBK"/>
                <w:sz w:val="24"/>
                <w:szCs w:val="24"/>
              </w:rPr>
            </w:pPr>
          </w:p>
        </w:tc>
        <w:tc>
          <w:tcPr>
            <w:tcW w:w="1933"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（每笔）</w:t>
            </w:r>
          </w:p>
        </w:tc>
        <w:tc>
          <w:tcPr>
            <w:tcW w:w="1764"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基础价（底价）部分</w:t>
            </w:r>
          </w:p>
        </w:tc>
        <w:tc>
          <w:tcPr>
            <w:tcW w:w="1797"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方正仿宋_GBK"/>
                <w:kern w:val="0"/>
                <w:sz w:val="24"/>
                <w:szCs w:val="24"/>
              </w:rPr>
            </w:pPr>
            <w:r>
              <w:rPr>
                <w:rFonts w:ascii="Times New Roman" w:hAnsi="Times New Roman" w:eastAsia="方正仿宋_GBK"/>
                <w:sz w:val="24"/>
                <w:szCs w:val="24"/>
              </w:rPr>
              <w:t>溢价部分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713" w:type="dxa"/>
            <w:tcBorders>
              <w:top w:val="nil"/>
              <w:left w:val="single" w:color="auto" w:sz="4" w:space="0"/>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1</w:t>
            </w:r>
          </w:p>
        </w:tc>
        <w:tc>
          <w:tcPr>
            <w:tcW w:w="3996"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100万元以下（含100万元）</w:t>
            </w:r>
          </w:p>
        </w:tc>
        <w:tc>
          <w:tcPr>
            <w:tcW w:w="1933"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3000元</w:t>
            </w:r>
          </w:p>
        </w:tc>
        <w:tc>
          <w:tcPr>
            <w:tcW w:w="1764" w:type="dxa"/>
            <w:vMerge w:val="restart"/>
            <w:tcBorders>
              <w:top w:val="nil"/>
              <w:left w:val="nil"/>
              <w:right w:val="single" w:color="auto" w:sz="4" w:space="0"/>
            </w:tcBorders>
            <w:shd w:val="clear" w:color="000000" w:fill="FFFFFF"/>
            <w:vAlign w:val="center"/>
          </w:tcPr>
          <w:p>
            <w:pPr>
              <w:widowControl/>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0.8％</w:t>
            </w:r>
          </w:p>
        </w:tc>
        <w:tc>
          <w:tcPr>
            <w:tcW w:w="1797" w:type="dxa"/>
            <w:vMerge w:val="restart"/>
            <w:tcBorders>
              <w:top w:val="nil"/>
              <w:left w:val="nil"/>
              <w:right w:val="single" w:color="auto" w:sz="4" w:space="0"/>
            </w:tcBorders>
            <w:shd w:val="clear" w:color="000000" w:fill="FFFFFF"/>
            <w:vAlign w:val="center"/>
          </w:tcPr>
          <w:p>
            <w:pPr>
              <w:widowControl/>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3" w:type="dxa"/>
            <w:tcBorders>
              <w:top w:val="nil"/>
              <w:left w:val="single" w:color="auto" w:sz="4" w:space="0"/>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3996"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101万元-500万元（含500万元）</w:t>
            </w:r>
          </w:p>
        </w:tc>
        <w:tc>
          <w:tcPr>
            <w:tcW w:w="1933"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2‰</w:t>
            </w:r>
          </w:p>
        </w:tc>
        <w:tc>
          <w:tcPr>
            <w:tcW w:w="1764" w:type="dxa"/>
            <w:vMerge w:val="continue"/>
            <w:tcBorders>
              <w:left w:val="nil"/>
              <w:right w:val="single" w:color="auto" w:sz="4" w:space="0"/>
            </w:tcBorders>
            <w:shd w:val="clear" w:color="000000" w:fill="FFFFFF"/>
            <w:vAlign w:val="center"/>
          </w:tcPr>
          <w:p>
            <w:pPr>
              <w:widowControl/>
              <w:spacing w:line="400" w:lineRule="exact"/>
              <w:jc w:val="center"/>
              <w:rPr>
                <w:rFonts w:ascii="Times New Roman" w:hAnsi="Times New Roman" w:eastAsia="方正仿宋_GBK"/>
                <w:sz w:val="24"/>
                <w:szCs w:val="24"/>
              </w:rPr>
            </w:pPr>
          </w:p>
        </w:tc>
        <w:tc>
          <w:tcPr>
            <w:tcW w:w="1797" w:type="dxa"/>
            <w:vMerge w:val="continue"/>
            <w:tcBorders>
              <w:left w:val="nil"/>
              <w:right w:val="single" w:color="auto" w:sz="4" w:space="0"/>
            </w:tcBorders>
            <w:shd w:val="clear" w:color="000000" w:fill="FFFFFF"/>
            <w:vAlign w:val="center"/>
          </w:tcPr>
          <w:p>
            <w:pPr>
              <w:spacing w:line="400" w:lineRule="exact"/>
              <w:jc w:val="center"/>
              <w:rPr>
                <w:rFonts w:ascii="Times New Roman" w:hAnsi="Times New Roman" w:eastAsia="方正仿宋_GBK"/>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3" w:type="dxa"/>
            <w:tcBorders>
              <w:top w:val="nil"/>
              <w:left w:val="single" w:color="auto" w:sz="4" w:space="0"/>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3</w:t>
            </w:r>
          </w:p>
        </w:tc>
        <w:tc>
          <w:tcPr>
            <w:tcW w:w="3996"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501万元-2000万元（含2000万元）</w:t>
            </w:r>
          </w:p>
        </w:tc>
        <w:tc>
          <w:tcPr>
            <w:tcW w:w="1933"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1.6‰</w:t>
            </w:r>
          </w:p>
        </w:tc>
        <w:tc>
          <w:tcPr>
            <w:tcW w:w="1764" w:type="dxa"/>
            <w:vMerge w:val="continue"/>
            <w:tcBorders>
              <w:left w:val="nil"/>
              <w:right w:val="single" w:color="auto" w:sz="4" w:space="0"/>
            </w:tcBorders>
            <w:shd w:val="clear" w:color="000000" w:fill="FFFFFF"/>
            <w:vAlign w:val="center"/>
          </w:tcPr>
          <w:p>
            <w:pPr>
              <w:widowControl/>
              <w:spacing w:line="400" w:lineRule="exact"/>
              <w:jc w:val="center"/>
              <w:rPr>
                <w:rFonts w:ascii="Times New Roman" w:hAnsi="Times New Roman" w:eastAsia="方正仿宋_GBK"/>
                <w:sz w:val="24"/>
                <w:szCs w:val="24"/>
              </w:rPr>
            </w:pPr>
          </w:p>
        </w:tc>
        <w:tc>
          <w:tcPr>
            <w:tcW w:w="1797" w:type="dxa"/>
            <w:vMerge w:val="continue"/>
            <w:tcBorders>
              <w:left w:val="nil"/>
              <w:right w:val="single" w:color="auto" w:sz="4" w:space="0"/>
            </w:tcBorders>
            <w:shd w:val="clear" w:color="000000" w:fill="FFFFFF"/>
            <w:vAlign w:val="center"/>
          </w:tcPr>
          <w:p>
            <w:pPr>
              <w:spacing w:line="400" w:lineRule="exact"/>
              <w:jc w:val="center"/>
              <w:rPr>
                <w:rFonts w:ascii="Times New Roman" w:hAnsi="Times New Roman" w:eastAsia="方正仿宋_GBK"/>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3" w:type="dxa"/>
            <w:tcBorders>
              <w:top w:val="nil"/>
              <w:left w:val="single" w:color="auto" w:sz="4" w:space="0"/>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3996"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2001万元-5000万元（含5000万元）</w:t>
            </w:r>
          </w:p>
        </w:tc>
        <w:tc>
          <w:tcPr>
            <w:tcW w:w="1933"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1.2‰</w:t>
            </w:r>
          </w:p>
        </w:tc>
        <w:tc>
          <w:tcPr>
            <w:tcW w:w="1764" w:type="dxa"/>
            <w:vMerge w:val="continue"/>
            <w:tcBorders>
              <w:left w:val="nil"/>
              <w:right w:val="single" w:color="auto" w:sz="4" w:space="0"/>
            </w:tcBorders>
            <w:shd w:val="clear" w:color="000000" w:fill="FFFFFF"/>
            <w:vAlign w:val="center"/>
          </w:tcPr>
          <w:p>
            <w:pPr>
              <w:widowControl/>
              <w:spacing w:line="400" w:lineRule="exact"/>
              <w:jc w:val="center"/>
              <w:rPr>
                <w:rFonts w:ascii="Times New Roman" w:hAnsi="Times New Roman" w:eastAsia="方正仿宋_GBK"/>
                <w:sz w:val="24"/>
                <w:szCs w:val="24"/>
              </w:rPr>
            </w:pPr>
          </w:p>
        </w:tc>
        <w:tc>
          <w:tcPr>
            <w:tcW w:w="1797" w:type="dxa"/>
            <w:vMerge w:val="continue"/>
            <w:tcBorders>
              <w:left w:val="nil"/>
              <w:right w:val="single" w:color="auto" w:sz="4" w:space="0"/>
            </w:tcBorders>
            <w:shd w:val="clear" w:color="000000" w:fill="FFFFFF"/>
            <w:vAlign w:val="center"/>
          </w:tcPr>
          <w:p>
            <w:pPr>
              <w:spacing w:line="400" w:lineRule="exact"/>
              <w:jc w:val="center"/>
              <w:rPr>
                <w:rFonts w:ascii="Times New Roman" w:hAnsi="Times New Roman" w:eastAsia="方正仿宋_GBK"/>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3" w:type="dxa"/>
            <w:tcBorders>
              <w:top w:val="nil"/>
              <w:left w:val="single" w:color="auto" w:sz="4" w:space="0"/>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5</w:t>
            </w:r>
          </w:p>
        </w:tc>
        <w:tc>
          <w:tcPr>
            <w:tcW w:w="3996"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5001万元-10000万元（含10000万元）</w:t>
            </w:r>
          </w:p>
        </w:tc>
        <w:tc>
          <w:tcPr>
            <w:tcW w:w="1933"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0.8‰</w:t>
            </w:r>
          </w:p>
        </w:tc>
        <w:tc>
          <w:tcPr>
            <w:tcW w:w="1764" w:type="dxa"/>
            <w:vMerge w:val="continue"/>
            <w:tcBorders>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方正仿宋_GBK"/>
                <w:sz w:val="24"/>
                <w:szCs w:val="24"/>
              </w:rPr>
            </w:pPr>
          </w:p>
        </w:tc>
        <w:tc>
          <w:tcPr>
            <w:tcW w:w="1797" w:type="dxa"/>
            <w:vMerge w:val="continue"/>
            <w:tcBorders>
              <w:left w:val="nil"/>
              <w:right w:val="single" w:color="auto" w:sz="4" w:space="0"/>
            </w:tcBorders>
            <w:shd w:val="clear" w:color="000000" w:fill="FFFFFF"/>
            <w:vAlign w:val="center"/>
          </w:tcPr>
          <w:p>
            <w:pPr>
              <w:spacing w:line="400" w:lineRule="exact"/>
              <w:jc w:val="center"/>
              <w:rPr>
                <w:rFonts w:ascii="Times New Roman" w:hAnsi="Times New Roman" w:eastAsia="方正仿宋_GBK"/>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3" w:type="dxa"/>
            <w:tcBorders>
              <w:top w:val="nil"/>
              <w:left w:val="single" w:color="auto" w:sz="4" w:space="0"/>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3996"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10001万元-50000万元（含50000万元）</w:t>
            </w:r>
          </w:p>
        </w:tc>
        <w:tc>
          <w:tcPr>
            <w:tcW w:w="1933"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0.6‰</w:t>
            </w:r>
          </w:p>
        </w:tc>
        <w:tc>
          <w:tcPr>
            <w:tcW w:w="1764"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0.6％</w:t>
            </w:r>
          </w:p>
        </w:tc>
        <w:tc>
          <w:tcPr>
            <w:tcW w:w="1797" w:type="dxa"/>
            <w:vMerge w:val="continue"/>
            <w:tcBorders>
              <w:left w:val="nil"/>
              <w:right w:val="single" w:color="auto" w:sz="4" w:space="0"/>
            </w:tcBorders>
            <w:shd w:val="clear" w:color="000000" w:fill="FFFFFF"/>
            <w:vAlign w:val="center"/>
          </w:tcPr>
          <w:p>
            <w:pPr>
              <w:spacing w:line="400" w:lineRule="exact"/>
              <w:jc w:val="center"/>
              <w:rPr>
                <w:rFonts w:ascii="Times New Roman" w:hAnsi="Times New Roman" w:eastAsia="方正仿宋_GBK"/>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713" w:type="dxa"/>
            <w:tcBorders>
              <w:top w:val="nil"/>
              <w:left w:val="single" w:color="auto" w:sz="4" w:space="0"/>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7</w:t>
            </w:r>
          </w:p>
        </w:tc>
        <w:tc>
          <w:tcPr>
            <w:tcW w:w="3996"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50001万元及以上</w:t>
            </w:r>
          </w:p>
        </w:tc>
        <w:tc>
          <w:tcPr>
            <w:tcW w:w="1933"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0.4‰</w:t>
            </w:r>
          </w:p>
        </w:tc>
        <w:tc>
          <w:tcPr>
            <w:tcW w:w="1764" w:type="dxa"/>
            <w:tcBorders>
              <w:top w:val="nil"/>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方正仿宋_GBK"/>
                <w:sz w:val="24"/>
                <w:szCs w:val="24"/>
              </w:rPr>
            </w:pPr>
            <w:r>
              <w:rPr>
                <w:rFonts w:ascii="Times New Roman" w:hAnsi="Times New Roman" w:eastAsia="方正仿宋_GBK"/>
                <w:sz w:val="24"/>
                <w:szCs w:val="24"/>
              </w:rPr>
              <w:t>0.4％</w:t>
            </w:r>
          </w:p>
        </w:tc>
        <w:tc>
          <w:tcPr>
            <w:tcW w:w="1797" w:type="dxa"/>
            <w:vMerge w:val="continue"/>
            <w:tcBorders>
              <w:left w:val="nil"/>
              <w:bottom w:val="single" w:color="auto" w:sz="4" w:space="0"/>
              <w:right w:val="single" w:color="auto" w:sz="4" w:space="0"/>
            </w:tcBorders>
            <w:shd w:val="clear" w:color="000000" w:fill="FFFFFF"/>
            <w:vAlign w:val="center"/>
          </w:tcPr>
          <w:p>
            <w:pPr>
              <w:widowControl/>
              <w:spacing w:line="400" w:lineRule="exact"/>
              <w:jc w:val="center"/>
              <w:rPr>
                <w:rFonts w:ascii="Times New Roman" w:hAnsi="Times New Roman" w:eastAsia="方正仿宋_GBK"/>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10203" w:type="dxa"/>
            <w:gridSpan w:val="5"/>
          </w:tcPr>
          <w:p>
            <w:pPr>
              <w:spacing w:line="400" w:lineRule="exact"/>
              <w:jc w:val="left"/>
              <w:rPr>
                <w:rFonts w:ascii="Times New Roman" w:hAnsi="Times New Roman" w:eastAsia="方正仿宋_GBK"/>
                <w:sz w:val="24"/>
                <w:szCs w:val="24"/>
              </w:rPr>
            </w:pPr>
            <w:r>
              <w:rPr>
                <w:rFonts w:ascii="Times New Roman" w:hAnsi="Times New Roman" w:eastAsia="方正仿宋_GBK"/>
                <w:sz w:val="24"/>
                <w:szCs w:val="24"/>
              </w:rPr>
              <w:t>备注：以上收费方式为按计费金额（成交金额）分档累进计费。自2018年 1 月 1 日起执行。</w:t>
            </w:r>
          </w:p>
          <w:p>
            <w:pPr>
              <w:spacing w:line="400" w:lineRule="exact"/>
              <w:jc w:val="left"/>
              <w:rPr>
                <w:rFonts w:ascii="Times New Roman" w:hAnsi="Times New Roman" w:eastAsia="方正仿宋_GBK"/>
                <w:sz w:val="24"/>
                <w:szCs w:val="24"/>
              </w:rPr>
            </w:pPr>
            <w:r>
              <w:rPr>
                <w:rFonts w:ascii="Times New Roman" w:hAnsi="Times New Roman" w:eastAsia="方正仿宋_GBK"/>
                <w:sz w:val="24"/>
                <w:szCs w:val="28"/>
              </w:rPr>
              <w:t>国有</w:t>
            </w:r>
            <w:r>
              <w:rPr>
                <w:rFonts w:hint="eastAsia" w:ascii="Times New Roman" w:hAnsi="Times New Roman" w:eastAsia="方正仿宋_GBK"/>
                <w:sz w:val="24"/>
                <w:szCs w:val="28"/>
                <w:lang w:val="en-US" w:eastAsia="zh-CN"/>
              </w:rPr>
              <w:t>资产</w:t>
            </w:r>
            <w:bookmarkStart w:id="0" w:name="_GoBack"/>
            <w:bookmarkEnd w:id="0"/>
            <w:r>
              <w:rPr>
                <w:rFonts w:ascii="Times New Roman" w:hAnsi="Times New Roman" w:eastAsia="方正仿宋_GBK"/>
                <w:sz w:val="24"/>
                <w:szCs w:val="24"/>
              </w:rPr>
              <w:t>交易服务费分别向交易双方同比率收取。交易双方可以通过合同约定方式由交易一方全部支付或在上述标准范围内约定支付比率。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203" w:type="dxa"/>
            <w:gridSpan w:val="5"/>
          </w:tcPr>
          <w:p>
            <w:pPr>
              <w:spacing w:line="400" w:lineRule="exact"/>
              <w:jc w:val="center"/>
              <w:rPr>
                <w:rFonts w:ascii="Times New Roman" w:hAnsi="Times New Roman" w:eastAsia="方正仿宋_GBK"/>
                <w:b/>
                <w:sz w:val="24"/>
                <w:szCs w:val="24"/>
              </w:rPr>
            </w:pPr>
            <w:r>
              <w:rPr>
                <w:rFonts w:hint="eastAsia" w:ascii="Times New Roman" w:hAnsi="Times New Roman" w:eastAsia="方正仿宋_GBK"/>
                <w:b/>
                <w:sz w:val="24"/>
                <w:szCs w:val="24"/>
              </w:rPr>
              <w:t>二、</w:t>
            </w:r>
            <w:r>
              <w:rPr>
                <w:rFonts w:ascii="Times New Roman" w:hAnsi="Times New Roman" w:eastAsia="方正仿宋_GBK"/>
                <w:b/>
                <w:sz w:val="24"/>
                <w:szCs w:val="24"/>
              </w:rPr>
              <w:t>国有资产招商、租赁类项目服务收费标准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203" w:type="dxa"/>
            <w:gridSpan w:val="5"/>
          </w:tcPr>
          <w:p>
            <w:pPr>
              <w:spacing w:line="400" w:lineRule="exact"/>
              <w:jc w:val="center"/>
              <w:rPr>
                <w:rFonts w:ascii="Times New Roman" w:hAnsi="Times New Roman" w:eastAsia="方正仿宋_GBK"/>
                <w:sz w:val="24"/>
                <w:szCs w:val="24"/>
              </w:rPr>
            </w:pPr>
            <w:r>
              <w:rPr>
                <w:rFonts w:ascii="Times New Roman" w:hAnsi="Times New Roman" w:eastAsia="方正仿宋_GBK"/>
                <w:sz w:val="24"/>
                <w:szCs w:val="32"/>
              </w:rPr>
              <w:t>按照</w:t>
            </w:r>
            <w:r>
              <w:rPr>
                <w:rFonts w:hint="eastAsia" w:ascii="Times New Roman" w:hAnsi="Times New Roman" w:eastAsia="方正仿宋_GBK"/>
                <w:sz w:val="24"/>
                <w:szCs w:val="32"/>
                <w:lang w:val="en-US" w:eastAsia="zh-CN"/>
              </w:rPr>
              <w:t>首年首</w:t>
            </w:r>
            <w:r>
              <w:rPr>
                <w:rFonts w:ascii="Times New Roman" w:hAnsi="Times New Roman" w:eastAsia="方正仿宋_GBK"/>
                <w:sz w:val="24"/>
                <w:szCs w:val="32"/>
              </w:rPr>
              <w:t>月租金</w:t>
            </w:r>
            <w:r>
              <w:rPr>
                <w:rFonts w:hint="eastAsia" w:ascii="Times New Roman" w:hAnsi="Times New Roman" w:eastAsia="方正仿宋_GBK"/>
                <w:sz w:val="24"/>
                <w:szCs w:val="32"/>
                <w:lang w:eastAsia="zh-CN"/>
              </w:rPr>
              <w:t>（</w:t>
            </w:r>
            <w:r>
              <w:rPr>
                <w:rFonts w:hint="eastAsia" w:ascii="Times New Roman" w:hAnsi="Times New Roman" w:eastAsia="方正仿宋_GBK"/>
                <w:sz w:val="24"/>
                <w:szCs w:val="32"/>
                <w:lang w:val="en-US" w:eastAsia="zh-CN"/>
              </w:rPr>
              <w:t>免租期除外</w:t>
            </w:r>
            <w:r>
              <w:rPr>
                <w:rFonts w:hint="eastAsia" w:ascii="Times New Roman" w:hAnsi="Times New Roman" w:eastAsia="方正仿宋_GBK"/>
                <w:sz w:val="24"/>
                <w:szCs w:val="32"/>
                <w:lang w:eastAsia="zh-CN"/>
              </w:rPr>
              <w:t>）</w:t>
            </w:r>
            <w:r>
              <w:rPr>
                <w:rFonts w:ascii="Times New Roman" w:hAnsi="Times New Roman" w:eastAsia="方正仿宋_GBK"/>
                <w:sz w:val="24"/>
                <w:szCs w:val="32"/>
              </w:rPr>
              <w:t>50%向承租方一次性收取。</w:t>
            </w:r>
          </w:p>
        </w:tc>
      </w:tr>
    </w:tbl>
    <w:p>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11、一旦被江苏省文化产权交易所有限公司确定为受让方，在三个工作日内与转让方签订《国有产权交易合同》（合同内容详见附件）；摘牌成功后，此次交易双方不得以交易期间企业经营性损益等理由对已达成的交易条件和交易价格进行调整。</w:t>
      </w:r>
    </w:p>
    <w:p>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12、一旦被江苏省文化产权交易所有限公司确定为受让方，在执行国有产权转让合同过程中，除转让标的成交价款之外的其他款项的结算，包括我方与转让方之间的其他款项以及我方与第三方之间的其他款项，均由我方自行与相关方收取和结算，均与江苏省文化产权交易所有限公司无关。</w:t>
      </w:r>
    </w:p>
    <w:p>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不论任何时候任何原因，如果相关方未能向我方支付上述其他款项，或未能向我方履行其他义务,江苏省文化产权交易所有限公司并不负有协助我方追讨上述款项或协助要求相关方履行相应义务的责任，我方也不能因此而要求江苏省文化产权交易所有限公司承担任何责任；</w:t>
      </w:r>
    </w:p>
    <w:p>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 xml:space="preserve"> 13、我方一旦按照江苏省文化产权交易所有限公司的要求提交保证金，则表示我方确定参与收购，该保证金作为全面履行本次收购各项承诺的保证，若我方违反所作出的任何承诺和保证，江苏省文化产权交易所有限公司有权冻结我方保证金并将其作为违约金。</w:t>
      </w:r>
    </w:p>
    <w:p>
      <w:pPr>
        <w:adjustRightInd w:val="0"/>
        <w:snapToGrid w:val="0"/>
        <w:spacing w:line="500" w:lineRule="exact"/>
        <w:ind w:firstLine="560" w:firstLineChars="200"/>
        <w:rPr>
          <w:rFonts w:ascii="Times New Roman" w:hAnsi="Times New Roman" w:eastAsia="方正仿宋_GBK"/>
          <w:sz w:val="28"/>
          <w:szCs w:val="28"/>
        </w:rPr>
      </w:pPr>
      <w:r>
        <w:rPr>
          <w:rFonts w:ascii="Times New Roman" w:hAnsi="Times New Roman" w:eastAsia="方正仿宋_GBK"/>
          <w:sz w:val="28"/>
          <w:szCs w:val="28"/>
        </w:rPr>
        <w:t>以上，特此承诺！</w:t>
      </w:r>
    </w:p>
    <w:p>
      <w:pPr>
        <w:adjustRightInd w:val="0"/>
        <w:snapToGrid w:val="0"/>
        <w:spacing w:line="500" w:lineRule="exact"/>
        <w:ind w:firstLine="585"/>
        <w:rPr>
          <w:rFonts w:ascii="Times New Roman" w:hAnsi="Times New Roman"/>
          <w:sz w:val="28"/>
          <w:szCs w:val="28"/>
        </w:rPr>
      </w:pPr>
    </w:p>
    <w:p>
      <w:pPr>
        <w:adjustRightInd w:val="0"/>
        <w:snapToGrid w:val="0"/>
        <w:spacing w:line="500" w:lineRule="exact"/>
        <w:ind w:firstLine="585"/>
        <w:rPr>
          <w:rFonts w:ascii="Times New Roman" w:hAnsi="Times New Roman"/>
          <w:sz w:val="28"/>
          <w:szCs w:val="28"/>
        </w:rPr>
      </w:pPr>
    </w:p>
    <w:p>
      <w:pPr>
        <w:adjustRightInd w:val="0"/>
        <w:snapToGrid w:val="0"/>
        <w:spacing w:line="500" w:lineRule="exact"/>
        <w:ind w:firstLine="585"/>
        <w:rPr>
          <w:rFonts w:ascii="Times New Roman" w:hAnsi="Times New Roman"/>
          <w:bCs/>
          <w:sz w:val="28"/>
          <w:szCs w:val="28"/>
        </w:rPr>
      </w:pPr>
    </w:p>
    <w:p>
      <w:pPr>
        <w:adjustRightInd w:val="0"/>
        <w:snapToGrid w:val="0"/>
        <w:spacing w:line="500" w:lineRule="exact"/>
        <w:ind w:firstLine="560" w:firstLineChars="200"/>
        <w:rPr>
          <w:rFonts w:ascii="Times New Roman" w:hAnsi="Times New Roman" w:eastAsia="方正仿宋_GBK"/>
          <w:bCs/>
          <w:sz w:val="28"/>
          <w:szCs w:val="28"/>
        </w:rPr>
      </w:pPr>
      <w:r>
        <w:rPr>
          <w:rFonts w:ascii="Times New Roman" w:hAnsi="Times New Roman"/>
          <w:bCs/>
          <w:sz w:val="28"/>
          <w:szCs w:val="28"/>
        </w:rPr>
        <w:t xml:space="preserve">                                     </w:t>
      </w:r>
      <w:r>
        <w:rPr>
          <w:rFonts w:ascii="Times New Roman" w:hAnsi="Times New Roman" w:eastAsia="方正仿宋_GBK"/>
          <w:bCs/>
          <w:sz w:val="28"/>
          <w:szCs w:val="28"/>
        </w:rPr>
        <w:t>承诺人（签章）：</w:t>
      </w:r>
    </w:p>
    <w:p>
      <w:pPr>
        <w:adjustRightInd w:val="0"/>
        <w:snapToGrid w:val="0"/>
        <w:spacing w:line="500" w:lineRule="exact"/>
        <w:ind w:right="1120" w:firstLine="560" w:firstLineChars="200"/>
        <w:jc w:val="right"/>
        <w:rPr>
          <w:rFonts w:ascii="Times New Roman" w:hAnsi="Times New Roman" w:eastAsia="方正仿宋_GBK"/>
          <w:bCs/>
          <w:sz w:val="28"/>
          <w:szCs w:val="28"/>
        </w:rPr>
      </w:pPr>
      <w:r>
        <w:rPr>
          <w:rFonts w:ascii="Times New Roman" w:hAnsi="Times New Roman" w:eastAsia="方正仿宋_GBK"/>
          <w:bCs/>
          <w:sz w:val="28"/>
          <w:szCs w:val="28"/>
        </w:rPr>
        <w:t xml:space="preserve">                              年  月  日</w:t>
      </w:r>
    </w:p>
    <w:p>
      <w:pPr>
        <w:spacing w:line="500" w:lineRule="exact"/>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5332C"/>
    <w:rsid w:val="00110495"/>
    <w:rsid w:val="00217132"/>
    <w:rsid w:val="00237DC3"/>
    <w:rsid w:val="00836E63"/>
    <w:rsid w:val="00A25E3A"/>
    <w:rsid w:val="00A57D6A"/>
    <w:rsid w:val="00B31CCF"/>
    <w:rsid w:val="00C35BB0"/>
    <w:rsid w:val="00D833A5"/>
    <w:rsid w:val="00E5332C"/>
    <w:rsid w:val="00E90A1E"/>
    <w:rsid w:val="00F7139E"/>
    <w:rsid w:val="0E551A45"/>
    <w:rsid w:val="252B0F8C"/>
    <w:rsid w:val="5AA236BF"/>
    <w:rsid w:val="5CF04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99"/>
    <w:rPr>
      <w:rFonts w:ascii="Calibri" w:hAnsi="Calibri" w:eastAsia="宋体" w:cs="Times New Roman"/>
      <w:sz w:val="18"/>
      <w:szCs w:val="18"/>
    </w:rPr>
  </w:style>
  <w:style w:type="character" w:customStyle="1" w:styleId="7">
    <w:name w:val="页脚 字符"/>
    <w:basedOn w:val="5"/>
    <w:link w:val="2"/>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1438</Words>
  <Characters>1535</Characters>
  <Lines>12</Lines>
  <Paragraphs>3</Paragraphs>
  <TotalTime>0</TotalTime>
  <ScaleCrop>false</ScaleCrop>
  <LinksUpToDate>false</LinksUpToDate>
  <CharactersWithSpaces>1669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2019-05-29T01:51:00Z</dcterms:created>
  <dc:creator>owner</dc:creator>
  <cp:lastModifiedBy>柯兰</cp:lastModifiedBy>
  <dcterms:modified xsi:type="dcterms:W3CDTF">2022-02-16T06:21:40Z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KSOSaveFontToCloudKey">
    <vt:lpwstr>252478052_cloud</vt:lpwstr>
  </property>
  <property fmtid="{D5CDD505-2E9C-101B-9397-08002B2CF9AE}" pid="4" name="ICV">
    <vt:lpwstr>747C270E7AFA427F9C002409309161B8</vt:lpwstr>
  </property>
</Properties>
</file>