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73527">
      <w:pPr>
        <w:adjustRightInd w:val="0"/>
        <w:snapToGrid w:val="0"/>
        <w:spacing w:after="120" w:line="360" w:lineRule="auto"/>
        <w:jc w:val="center"/>
        <w:rPr>
          <w:rFonts w:ascii="宋体" w:hAnsi="宋体"/>
          <w:b/>
          <w:sz w:val="36"/>
          <w:szCs w:val="36"/>
        </w:rPr>
      </w:pPr>
      <w:r>
        <w:rPr>
          <w:rFonts w:hint="eastAsia" w:ascii="宋体" w:hAnsi="宋体"/>
          <w:b/>
          <w:sz w:val="36"/>
          <w:szCs w:val="36"/>
        </w:rPr>
        <w:t>受让</w:t>
      </w:r>
      <w:r>
        <w:rPr>
          <w:rFonts w:ascii="宋体" w:hAnsi="宋体"/>
          <w:b/>
          <w:sz w:val="36"/>
          <w:szCs w:val="36"/>
        </w:rPr>
        <w:t>申请与承诺</w:t>
      </w:r>
    </w:p>
    <w:p w14:paraId="05D47E58">
      <w:pPr>
        <w:keepNext w:val="0"/>
        <w:keepLines w:val="0"/>
        <w:pageBreakBefore w:val="0"/>
        <w:kinsoku/>
        <w:wordWrap/>
        <w:overflowPunct/>
        <w:topLinePunct w:val="0"/>
        <w:autoSpaceDE/>
        <w:autoSpaceDN/>
        <w:bidi w:val="0"/>
        <w:adjustRightInd w:val="0"/>
        <w:snapToGrid w:val="0"/>
        <w:spacing w:after="120" w:line="300" w:lineRule="exac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连云港市产权交易所有限公司：</w:t>
      </w:r>
    </w:p>
    <w:p w14:paraId="0CF98AD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我方决定报名受让</w:t>
      </w:r>
      <w:r>
        <w:rPr>
          <w:rFonts w:hint="eastAsia" w:ascii="方正仿宋_GBK" w:hAnsi="方正仿宋_GBK" w:eastAsia="方正仿宋_GBK" w:cs="方正仿宋_GBK"/>
          <w:color w:val="000000"/>
          <w:sz w:val="21"/>
          <w:szCs w:val="21"/>
          <w:lang w:eastAsia="zh-CN"/>
        </w:rPr>
        <w:t>灌南县堆沟化工园区灌河大堤西侧地块国有出让土地使用权转让</w:t>
      </w:r>
      <w:r>
        <w:rPr>
          <w:rFonts w:hint="eastAsia" w:ascii="方正仿宋_GBK" w:hAnsi="方正仿宋_GBK" w:eastAsia="方正仿宋_GBK" w:cs="方正仿宋_GBK"/>
          <w:color w:val="000000"/>
          <w:sz w:val="21"/>
          <w:szCs w:val="21"/>
        </w:rPr>
        <w:t>项目，现就有关事项承诺如下：</w:t>
      </w:r>
    </w:p>
    <w:p w14:paraId="621E4FF0">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拟以不低于人民币</w:t>
      </w:r>
      <w:r>
        <w:rPr>
          <w:rFonts w:hint="eastAsia" w:ascii="方正仿宋_GBK" w:hAnsi="方正仿宋_GBK" w:eastAsia="方正仿宋_GBK" w:cs="方正仿宋_GBK"/>
          <w:color w:val="000000"/>
          <w:sz w:val="21"/>
          <w:szCs w:val="21"/>
          <w:u w:val="single"/>
          <w:lang w:eastAsia="zh-CN"/>
        </w:rPr>
        <w:t>9,917,442.00</w:t>
      </w:r>
      <w:r>
        <w:rPr>
          <w:rFonts w:hint="eastAsia" w:ascii="方正仿宋_GBK" w:hAnsi="方正仿宋_GBK" w:eastAsia="方正仿宋_GBK" w:cs="方正仿宋_GBK"/>
          <w:color w:val="000000"/>
          <w:sz w:val="21"/>
          <w:szCs w:val="21"/>
        </w:rPr>
        <w:t>元价格受让本项目。</w:t>
      </w:r>
    </w:p>
    <w:p w14:paraId="3A2A7A6B">
      <w:pPr>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完全知悉并接受“</w:t>
      </w:r>
      <w:r>
        <w:rPr>
          <w:rFonts w:hint="eastAsia" w:ascii="方正仿宋_GBK" w:hAnsi="方正仿宋_GBK" w:eastAsia="方正仿宋_GBK" w:cs="方正仿宋_GBK"/>
          <w:color w:val="000000"/>
          <w:sz w:val="21"/>
          <w:szCs w:val="21"/>
          <w:lang w:eastAsia="zh-CN"/>
        </w:rPr>
        <w:t>灌南县堆沟化工园区灌河大堤西侧地块国有出让土地使用权转让</w:t>
      </w:r>
      <w:r>
        <w:rPr>
          <w:rFonts w:hint="eastAsia" w:ascii="方正仿宋_GBK" w:hAnsi="方正仿宋_GBK" w:eastAsia="方正仿宋_GBK" w:cs="方正仿宋_GBK"/>
          <w:color w:val="000000"/>
          <w:sz w:val="21"/>
          <w:szCs w:val="21"/>
        </w:rPr>
        <w:t>交易公告”（公告编号：</w:t>
      </w:r>
      <w:r>
        <w:rPr>
          <w:rFonts w:hint="eastAsia" w:ascii="方正仿宋_GBK" w:hAnsi="方正仿宋_GBK" w:eastAsia="方正仿宋_GBK" w:cs="方正仿宋_GBK"/>
          <w:color w:val="auto"/>
          <w:sz w:val="21"/>
          <w:szCs w:val="21"/>
        </w:rPr>
        <w:t>连交所委字2026年（4</w:t>
      </w:r>
      <w:r>
        <w:rPr>
          <w:rFonts w:hint="eastAsia" w:ascii="方正仿宋_GBK" w:hAnsi="方正仿宋_GBK" w:eastAsia="方正仿宋_GBK" w:cs="方正仿宋_GBK"/>
          <w:color w:val="auto"/>
          <w:sz w:val="21"/>
          <w:szCs w:val="21"/>
          <w:lang w:val="en-US" w:eastAsia="zh-CN"/>
        </w:rPr>
        <w:t>6</w:t>
      </w:r>
      <w:r>
        <w:rPr>
          <w:rFonts w:hint="eastAsia" w:ascii="方正仿宋_GBK" w:hAnsi="方正仿宋_GBK" w:eastAsia="方正仿宋_GBK" w:cs="方正仿宋_GBK"/>
          <w:color w:val="auto"/>
          <w:sz w:val="21"/>
          <w:szCs w:val="21"/>
        </w:rPr>
        <w:t>）号</w:t>
      </w:r>
      <w:r>
        <w:rPr>
          <w:rFonts w:hint="eastAsia" w:ascii="方正仿宋_GBK" w:hAnsi="方正仿宋_GBK" w:eastAsia="方正仿宋_GBK" w:cs="方正仿宋_GBK"/>
          <w:color w:val="000000"/>
          <w:sz w:val="21"/>
          <w:szCs w:val="21"/>
        </w:rPr>
        <w:t>）、评估报告（</w:t>
      </w:r>
      <w:r>
        <w:rPr>
          <w:rFonts w:hint="eastAsia" w:ascii="方正仿宋_GBK" w:hAnsi="方正仿宋_GBK" w:eastAsia="方正仿宋_GBK" w:cs="方正仿宋_GBK"/>
          <w:color w:val="000000"/>
          <w:sz w:val="21"/>
          <w:szCs w:val="21"/>
          <w:lang w:val="en-US" w:eastAsia="zh-CN"/>
        </w:rPr>
        <w:t>中证(连云港)土估字(2026)第0009号</w:t>
      </w:r>
      <w:r>
        <w:rPr>
          <w:rFonts w:hint="eastAsia" w:ascii="方正仿宋_GBK" w:hAnsi="方正仿宋_GBK" w:eastAsia="方正仿宋_GBK" w:cs="方正仿宋_GBK"/>
          <w:color w:val="000000"/>
          <w:sz w:val="21"/>
          <w:szCs w:val="21"/>
        </w:rPr>
        <w:t>）等文件所列的所有内容和条件，且遵守公告中涉及的所有条款。</w:t>
      </w:r>
    </w:p>
    <w:p w14:paraId="03A04414">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本次受让是我方真实意愿表示，相关行为已经过有效的内部决策并得到相应的批准，所提交材料及受让申请中内容不存在虚假记载、误导性陈述或重大遗漏，我方对其真实性、完整性、合法性、有效性承担相应的法律责任。</w:t>
      </w:r>
    </w:p>
    <w:p w14:paraId="0C95D470">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4、我方具有完全民事行为能力，并具备良好的社会信誉和支付能力，且资金来源合法，符合有关法律法规及本项目对受让人应当具备条件的规定。</w:t>
      </w:r>
    </w:p>
    <w:p w14:paraId="3139FC07">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5、我方已充分了解并接受信息发布的全部内容和要求，已认真考虑了标的和标的企业经营、行业、市场、政策以及其他不可预计的各项风险因素，愿意承担可能存在的一切交易风险。</w:t>
      </w:r>
    </w:p>
    <w:p w14:paraId="42CFE01B">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我方一旦按照连云港市产权交易所有限公司的要求提交保证金，则表示我方确定参与受让，该保证金作为全面履行本次受让各项承诺的保证，无论采用何种交易方式，我方将以不低于填报的受让价格报价，否则所交交易保证金转作违约金，作为对转让方及你所的违约赔偿，不予退还。</w:t>
      </w:r>
    </w:p>
    <w:p w14:paraId="06C03B4E">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7</w:t>
      </w:r>
      <w:r>
        <w:rPr>
          <w:rFonts w:hint="eastAsia" w:ascii="方正仿宋_GBK" w:hAnsi="方正仿宋_GBK" w:eastAsia="方正仿宋_GBK" w:cs="方正仿宋_GBK"/>
          <w:color w:val="000000"/>
          <w:sz w:val="21"/>
          <w:szCs w:val="21"/>
        </w:rPr>
        <w:t>、如我方成为受让方，不存在妨碍我方成为</w:t>
      </w:r>
      <w:r>
        <w:rPr>
          <w:rFonts w:hint="eastAsia" w:ascii="方正仿宋_GBK" w:hAnsi="方正仿宋_GBK" w:eastAsia="方正仿宋_GBK" w:cs="方正仿宋_GBK"/>
          <w:color w:val="000000"/>
          <w:sz w:val="21"/>
          <w:szCs w:val="21"/>
          <w:lang w:eastAsia="zh-CN"/>
        </w:rPr>
        <w:t>灌南县堆沟化工园区灌河大堤西侧地块国有出让土地使用权转让</w:t>
      </w:r>
      <w:r>
        <w:rPr>
          <w:rFonts w:hint="eastAsia" w:ascii="方正仿宋_GBK" w:hAnsi="方正仿宋_GBK" w:eastAsia="方正仿宋_GBK" w:cs="方正仿宋_GBK"/>
          <w:color w:val="000000"/>
          <w:sz w:val="21"/>
          <w:szCs w:val="21"/>
        </w:rPr>
        <w:t>项目受让方的任何障碍</w:t>
      </w:r>
      <w:r>
        <w:rPr>
          <w:rFonts w:hint="eastAsia" w:ascii="方正仿宋_GBK" w:hAnsi="方正仿宋_GBK" w:eastAsia="方正仿宋_GBK" w:cs="方正仿宋_GBK"/>
          <w:color w:val="000000"/>
          <w:sz w:val="21"/>
          <w:szCs w:val="21"/>
          <w:lang w:eastAsia="zh-CN"/>
        </w:rPr>
        <w:t>。</w:t>
      </w:r>
    </w:p>
    <w:p w14:paraId="21BA3E76">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8</w:t>
      </w:r>
      <w:r>
        <w:rPr>
          <w:rFonts w:hint="eastAsia" w:ascii="方正仿宋_GBK" w:hAnsi="方正仿宋_GBK" w:eastAsia="方正仿宋_GBK" w:cs="方正仿宋_GBK"/>
          <w:color w:val="000000"/>
          <w:sz w:val="21"/>
          <w:szCs w:val="21"/>
        </w:rPr>
        <w:t>、我方已完全知悉并严格遵守企业国有资产交易的相关法律法规的规定和连云港市产权交易所有限公司的相关规则，按照有关要求履行我方义务。</w:t>
      </w:r>
    </w:p>
    <w:p w14:paraId="238B97E5">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9</w:t>
      </w:r>
      <w:r>
        <w:rPr>
          <w:rFonts w:hint="eastAsia" w:ascii="方正仿宋_GBK" w:hAnsi="方正仿宋_GBK" w:eastAsia="方正仿宋_GBK" w:cs="方正仿宋_GBK"/>
          <w:color w:val="000000"/>
          <w:sz w:val="21"/>
          <w:szCs w:val="21"/>
        </w:rPr>
        <w:t>、我方知悉并遵守</w:t>
      </w:r>
      <w:r>
        <w:rPr>
          <w:rFonts w:hint="eastAsia" w:ascii="方正仿宋_GBK" w:hAnsi="方正仿宋_GBK" w:eastAsia="方正仿宋_GBK" w:cs="方正仿宋_GBK"/>
          <w:color w:val="000000"/>
          <w:sz w:val="21"/>
          <w:szCs w:val="21"/>
          <w:lang w:eastAsia="zh-CN"/>
        </w:rPr>
        <w:t>交易</w:t>
      </w:r>
      <w:r>
        <w:rPr>
          <w:rFonts w:hint="eastAsia" w:ascii="方正仿宋_GBK" w:hAnsi="方正仿宋_GBK" w:eastAsia="方正仿宋_GBK" w:cs="方正仿宋_GBK"/>
          <w:color w:val="000000"/>
          <w:sz w:val="21"/>
          <w:szCs w:val="21"/>
        </w:rPr>
        <w:t>规则</w:t>
      </w:r>
      <w:r>
        <w:rPr>
          <w:rFonts w:hint="eastAsia" w:ascii="方正仿宋_GBK" w:hAnsi="方正仿宋_GBK" w:eastAsia="方正仿宋_GBK" w:cs="方正仿宋_GBK"/>
          <w:color w:val="000000"/>
          <w:sz w:val="21"/>
          <w:szCs w:val="21"/>
          <w:lang w:eastAsia="zh-CN"/>
        </w:rPr>
        <w:t>及</w:t>
      </w:r>
      <w:r>
        <w:rPr>
          <w:rFonts w:hint="eastAsia" w:ascii="Times New Roman" w:hAnsi="Times New Roman" w:cs="Times New Roman"/>
          <w:color w:val="000000"/>
          <w:sz w:val="21"/>
          <w:szCs w:val="21"/>
          <w:lang w:eastAsia="zh-CN"/>
        </w:rPr>
        <w:t>e交易平台</w:t>
      </w:r>
      <w:r>
        <w:rPr>
          <w:rFonts w:hint="eastAsia" w:ascii="方正仿宋_GBK" w:hAnsi="方正仿宋_GBK" w:eastAsia="方正仿宋_GBK" w:cs="方正仿宋_GBK"/>
          <w:color w:val="000000"/>
          <w:sz w:val="21"/>
          <w:szCs w:val="21"/>
        </w:rPr>
        <w:t>的各类规则，对我方</w:t>
      </w:r>
      <w:r>
        <w:rPr>
          <w:rFonts w:hint="eastAsia" w:ascii="Times New Roman" w:hAnsi="Times New Roman" w:cs="Times New Roman"/>
          <w:color w:val="000000"/>
          <w:sz w:val="21"/>
          <w:szCs w:val="21"/>
          <w:lang w:eastAsia="zh-CN"/>
        </w:rPr>
        <w:t>e交易平台</w:t>
      </w:r>
      <w:r>
        <w:rPr>
          <w:rFonts w:hint="eastAsia" w:ascii="方正仿宋_GBK" w:hAnsi="方正仿宋_GBK" w:eastAsia="方正仿宋_GBK" w:cs="方正仿宋_GBK"/>
          <w:color w:val="000000"/>
          <w:sz w:val="21"/>
          <w:szCs w:val="21"/>
        </w:rPr>
        <w:t>账号和密码下进行的行为和发生的事件</w:t>
      </w:r>
      <w:r>
        <w:rPr>
          <w:rFonts w:hint="eastAsia" w:ascii="方正仿宋_GBK" w:hAnsi="方正仿宋_GBK" w:eastAsia="方正仿宋_GBK" w:cs="方正仿宋_GBK"/>
          <w:color w:val="000000"/>
          <w:sz w:val="21"/>
          <w:szCs w:val="21"/>
          <w:lang w:eastAsia="zh-CN"/>
        </w:rPr>
        <w:t>以及参与灌南县堆沟化工园区灌河大堤西侧地块国有出让土地使用权转让</w:t>
      </w:r>
      <w:r>
        <w:rPr>
          <w:rFonts w:hint="eastAsia" w:ascii="方正仿宋_GBK" w:hAnsi="方正仿宋_GBK" w:eastAsia="方正仿宋_GBK" w:cs="方正仿宋_GBK"/>
          <w:color w:val="000000"/>
          <w:sz w:val="21"/>
          <w:szCs w:val="21"/>
        </w:rPr>
        <w:t>项目</w:t>
      </w:r>
      <w:r>
        <w:rPr>
          <w:rFonts w:hint="eastAsia" w:ascii="方正仿宋_GBK" w:hAnsi="方正仿宋_GBK" w:eastAsia="方正仿宋_GBK" w:cs="方正仿宋_GBK"/>
          <w:color w:val="000000"/>
          <w:sz w:val="21"/>
          <w:szCs w:val="21"/>
          <w:lang w:eastAsia="zh-CN"/>
        </w:rPr>
        <w:t>竞价</w:t>
      </w:r>
      <w:r>
        <w:rPr>
          <w:rFonts w:hint="eastAsia" w:ascii="方正仿宋_GBK" w:hAnsi="方正仿宋_GBK" w:eastAsia="方正仿宋_GBK" w:cs="方正仿宋_GBK"/>
          <w:color w:val="000000"/>
          <w:sz w:val="21"/>
          <w:szCs w:val="21"/>
        </w:rPr>
        <w:t>的行为和发生的事件负责。</w:t>
      </w:r>
    </w:p>
    <w:p w14:paraId="53B7F2FF">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0</w:t>
      </w:r>
      <w:r>
        <w:rPr>
          <w:rFonts w:hint="eastAsia" w:ascii="方正仿宋_GBK" w:hAnsi="方正仿宋_GBK" w:eastAsia="方正仿宋_GBK" w:cs="方正仿宋_GBK"/>
          <w:color w:val="000000"/>
          <w:sz w:val="21"/>
          <w:szCs w:val="21"/>
        </w:rPr>
        <w:t>、对于参与本次受让过程中，获取的所有书面和非书面资料及信息，仅作为本次受让之用途，不用于本次受让之外的任何其他目的，也不会以任何形式提供给任何第三方。</w:t>
      </w:r>
    </w:p>
    <w:p w14:paraId="081400C0">
      <w:pPr>
        <w:keepNext w:val="0"/>
        <w:keepLines w:val="0"/>
        <w:pageBreakBefore w:val="0"/>
        <w:kinsoku/>
        <w:wordWrap/>
        <w:overflowPunct/>
        <w:topLinePunct w:val="0"/>
        <w:autoSpaceDE/>
        <w:autoSpaceDN/>
        <w:bidi w:val="0"/>
        <w:adjustRightInd w:val="0"/>
        <w:snapToGrid w:val="0"/>
        <w:spacing w:after="120" w:line="300" w:lineRule="exac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1</w:t>
      </w:r>
      <w:r>
        <w:rPr>
          <w:rFonts w:hint="eastAsia" w:ascii="方正仿宋_GBK" w:hAnsi="方正仿宋_GBK" w:eastAsia="方正仿宋_GBK" w:cs="方正仿宋_GBK"/>
          <w:color w:val="000000"/>
          <w:sz w:val="21"/>
          <w:szCs w:val="21"/>
        </w:rPr>
        <w:t>、一旦被连云港市产权交易所有限公司确定为受让方，按下列标准交纳交易服务费用：</w:t>
      </w:r>
    </w:p>
    <w:p w14:paraId="54AD6786">
      <w:pPr>
        <w:pStyle w:val="3"/>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（1）协议方式交易</w:t>
      </w:r>
    </w:p>
    <w:tbl>
      <w:tblPr>
        <w:tblStyle w:val="20"/>
        <w:tblW w:w="96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0"/>
        <w:gridCol w:w="5711"/>
        <w:gridCol w:w="3215"/>
      </w:tblGrid>
      <w:tr w14:paraId="7557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noWrap w:val="0"/>
            <w:vAlign w:val="center"/>
          </w:tcPr>
          <w:p w14:paraId="39371713">
            <w:pPr>
              <w:keepNext w:val="0"/>
              <w:keepLines w:val="0"/>
              <w:pageBreakBefore w:val="0"/>
              <w:widowControl w:val="0"/>
              <w:kinsoku/>
              <w:wordWrap/>
              <w:overflowPunct/>
              <w:topLinePunct w:val="0"/>
              <w:autoSpaceDE/>
              <w:autoSpaceDN/>
              <w:bidi w:val="0"/>
              <w:adjustRightInd/>
              <w:snapToGrid w:val="0"/>
              <w:spacing w:before="184"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分档</w:t>
            </w:r>
          </w:p>
        </w:tc>
        <w:tc>
          <w:tcPr>
            <w:tcW w:w="0" w:type="auto"/>
            <w:noWrap w:val="0"/>
            <w:vAlign w:val="center"/>
          </w:tcPr>
          <w:p w14:paraId="733CB6C8">
            <w:pPr>
              <w:keepNext w:val="0"/>
              <w:keepLines w:val="0"/>
              <w:pageBreakBefore w:val="0"/>
              <w:widowControl w:val="0"/>
              <w:kinsoku/>
              <w:wordWrap/>
              <w:overflowPunct/>
              <w:topLinePunct w:val="0"/>
              <w:autoSpaceDE/>
              <w:autoSpaceDN/>
              <w:bidi w:val="0"/>
              <w:adjustRightInd/>
              <w:snapToGrid w:val="0"/>
              <w:spacing w:before="184"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成交金额</w:t>
            </w:r>
          </w:p>
        </w:tc>
        <w:tc>
          <w:tcPr>
            <w:tcW w:w="3215" w:type="dxa"/>
            <w:noWrap w:val="0"/>
            <w:vAlign w:val="center"/>
          </w:tcPr>
          <w:p w14:paraId="064B355C">
            <w:pPr>
              <w:keepNext w:val="0"/>
              <w:keepLines w:val="0"/>
              <w:pageBreakBefore w:val="0"/>
              <w:widowControl w:val="0"/>
              <w:kinsoku/>
              <w:wordWrap/>
              <w:overflowPunct/>
              <w:topLinePunct w:val="0"/>
              <w:autoSpaceDE/>
              <w:autoSpaceDN/>
              <w:bidi w:val="0"/>
              <w:adjustRightInd/>
              <w:snapToGrid w:val="0"/>
              <w:spacing w:before="184"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基础服务费（费率）</w:t>
            </w:r>
          </w:p>
        </w:tc>
      </w:tr>
      <w:tr w14:paraId="57CD1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17A1376F">
            <w:pPr>
              <w:keepNext w:val="0"/>
              <w:keepLines w:val="0"/>
              <w:pageBreakBefore w:val="0"/>
              <w:widowControl w:val="0"/>
              <w:kinsoku/>
              <w:wordWrap/>
              <w:overflowPunct/>
              <w:topLinePunct w:val="0"/>
              <w:autoSpaceDE/>
              <w:autoSpaceDN/>
              <w:bidi w:val="0"/>
              <w:adjustRightInd/>
              <w:snapToGrid w:val="0"/>
              <w:spacing w:before="201"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0" w:type="auto"/>
            <w:noWrap w:val="0"/>
            <w:vAlign w:val="center"/>
          </w:tcPr>
          <w:p w14:paraId="4C252108">
            <w:pPr>
              <w:keepNext w:val="0"/>
              <w:keepLines w:val="0"/>
              <w:pageBreakBefore w:val="0"/>
              <w:widowControl w:val="0"/>
              <w:kinsoku/>
              <w:wordWrap/>
              <w:overflowPunct/>
              <w:topLinePunct w:val="0"/>
              <w:autoSpaceDE/>
              <w:autoSpaceDN/>
              <w:bidi w:val="0"/>
              <w:adjustRightInd/>
              <w:snapToGrid w:val="0"/>
              <w:spacing w:before="177"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不超过 100 万元的</w:t>
            </w:r>
          </w:p>
        </w:tc>
        <w:tc>
          <w:tcPr>
            <w:tcW w:w="3215" w:type="dxa"/>
            <w:noWrap w:val="0"/>
            <w:vAlign w:val="center"/>
          </w:tcPr>
          <w:p w14:paraId="7AF1E916">
            <w:pPr>
              <w:keepNext w:val="0"/>
              <w:keepLines w:val="0"/>
              <w:pageBreakBefore w:val="0"/>
              <w:widowControl w:val="0"/>
              <w:kinsoku/>
              <w:wordWrap/>
              <w:overflowPunct/>
              <w:topLinePunct w:val="0"/>
              <w:autoSpaceDE/>
              <w:autoSpaceDN/>
              <w:bidi w:val="0"/>
              <w:adjustRightInd/>
              <w:snapToGrid w:val="0"/>
              <w:spacing w:before="204"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3000 元</w:t>
            </w:r>
          </w:p>
        </w:tc>
      </w:tr>
      <w:tr w14:paraId="50B87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0970FC49">
            <w:pPr>
              <w:keepNext w:val="0"/>
              <w:keepLines w:val="0"/>
              <w:pageBreakBefore w:val="0"/>
              <w:widowControl w:val="0"/>
              <w:kinsoku/>
              <w:wordWrap/>
              <w:overflowPunct/>
              <w:topLinePunct w:val="0"/>
              <w:autoSpaceDE/>
              <w:autoSpaceDN/>
              <w:bidi w:val="0"/>
              <w:adjustRightInd/>
              <w:snapToGrid w:val="0"/>
              <w:spacing w:before="204"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0" w:type="auto"/>
            <w:noWrap w:val="0"/>
            <w:vAlign w:val="center"/>
          </w:tcPr>
          <w:p w14:paraId="32674010">
            <w:pPr>
              <w:keepNext w:val="0"/>
              <w:keepLines w:val="0"/>
              <w:pageBreakBefore w:val="0"/>
              <w:widowControl w:val="0"/>
              <w:kinsoku/>
              <w:wordWrap/>
              <w:overflowPunct/>
              <w:topLinePunct w:val="0"/>
              <w:autoSpaceDE/>
              <w:autoSpaceDN/>
              <w:bidi w:val="0"/>
              <w:adjustRightInd/>
              <w:snapToGrid w:val="0"/>
              <w:spacing w:before="18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100 万元至 500 万元的部分</w:t>
            </w:r>
          </w:p>
        </w:tc>
        <w:tc>
          <w:tcPr>
            <w:tcW w:w="3215" w:type="dxa"/>
            <w:noWrap w:val="0"/>
            <w:vAlign w:val="center"/>
          </w:tcPr>
          <w:p w14:paraId="6FCBC1B7">
            <w:pPr>
              <w:keepNext w:val="0"/>
              <w:keepLines w:val="0"/>
              <w:pageBreakBefore w:val="0"/>
              <w:widowControl w:val="0"/>
              <w:kinsoku/>
              <w:wordWrap/>
              <w:overflowPunct/>
              <w:topLinePunct w:val="0"/>
              <w:autoSpaceDE/>
              <w:autoSpaceDN/>
              <w:bidi w:val="0"/>
              <w:adjustRightInd/>
              <w:snapToGrid w:val="0"/>
              <w:spacing w:before="20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r>
      <w:tr w14:paraId="4D111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0DE5C428">
            <w:pPr>
              <w:keepNext w:val="0"/>
              <w:keepLines w:val="0"/>
              <w:pageBreakBefore w:val="0"/>
              <w:widowControl w:val="0"/>
              <w:kinsoku/>
              <w:wordWrap/>
              <w:overflowPunct/>
              <w:topLinePunct w:val="0"/>
              <w:autoSpaceDE/>
              <w:autoSpaceDN/>
              <w:bidi w:val="0"/>
              <w:adjustRightInd/>
              <w:snapToGrid w:val="0"/>
              <w:spacing w:before="20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0" w:type="auto"/>
            <w:noWrap w:val="0"/>
            <w:vAlign w:val="center"/>
          </w:tcPr>
          <w:p w14:paraId="66187084">
            <w:pPr>
              <w:keepNext w:val="0"/>
              <w:keepLines w:val="0"/>
              <w:pageBreakBefore w:val="0"/>
              <w:widowControl w:val="0"/>
              <w:kinsoku/>
              <w:wordWrap/>
              <w:overflowPunct/>
              <w:topLinePunct w:val="0"/>
              <w:autoSpaceDE/>
              <w:autoSpaceDN/>
              <w:bidi w:val="0"/>
              <w:adjustRightInd/>
              <w:snapToGrid w:val="0"/>
              <w:spacing w:before="17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 万元至 2000 万元的部分</w:t>
            </w:r>
          </w:p>
        </w:tc>
        <w:tc>
          <w:tcPr>
            <w:tcW w:w="3215" w:type="dxa"/>
            <w:noWrap w:val="0"/>
            <w:vAlign w:val="center"/>
          </w:tcPr>
          <w:p w14:paraId="7FC1C708">
            <w:pPr>
              <w:keepNext w:val="0"/>
              <w:keepLines w:val="0"/>
              <w:pageBreakBefore w:val="0"/>
              <w:widowControl w:val="0"/>
              <w:kinsoku/>
              <w:wordWrap/>
              <w:overflowPunct/>
              <w:topLinePunct w:val="0"/>
              <w:autoSpaceDE/>
              <w:autoSpaceDN/>
              <w:bidi w:val="0"/>
              <w:adjustRightInd/>
              <w:snapToGrid w:val="0"/>
              <w:spacing w:before="19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w:t>
            </w:r>
          </w:p>
        </w:tc>
      </w:tr>
      <w:tr w14:paraId="3425F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0F77C40D">
            <w:pPr>
              <w:keepNext w:val="0"/>
              <w:keepLines w:val="0"/>
              <w:pageBreakBefore w:val="0"/>
              <w:widowControl w:val="0"/>
              <w:kinsoku/>
              <w:wordWrap/>
              <w:overflowPunct/>
              <w:topLinePunct w:val="0"/>
              <w:autoSpaceDE/>
              <w:autoSpaceDN/>
              <w:bidi w:val="0"/>
              <w:adjustRightInd/>
              <w:snapToGrid w:val="0"/>
              <w:spacing w:before="20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0" w:type="auto"/>
            <w:noWrap w:val="0"/>
            <w:vAlign w:val="center"/>
          </w:tcPr>
          <w:p w14:paraId="55E26D4C">
            <w:pPr>
              <w:keepNext w:val="0"/>
              <w:keepLines w:val="0"/>
              <w:pageBreakBefore w:val="0"/>
              <w:widowControl w:val="0"/>
              <w:kinsoku/>
              <w:wordWrap/>
              <w:overflowPunct/>
              <w:topLinePunct w:val="0"/>
              <w:autoSpaceDE/>
              <w:autoSpaceDN/>
              <w:bidi w:val="0"/>
              <w:adjustRightInd/>
              <w:snapToGrid w:val="0"/>
              <w:spacing w:before="17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2000 万元至 5000 万元的部分</w:t>
            </w:r>
          </w:p>
        </w:tc>
        <w:tc>
          <w:tcPr>
            <w:tcW w:w="3215" w:type="dxa"/>
            <w:noWrap w:val="0"/>
            <w:vAlign w:val="center"/>
          </w:tcPr>
          <w:p w14:paraId="4E4E355E">
            <w:pPr>
              <w:keepNext w:val="0"/>
              <w:keepLines w:val="0"/>
              <w:pageBreakBefore w:val="0"/>
              <w:widowControl w:val="0"/>
              <w:kinsoku/>
              <w:wordWrap/>
              <w:overflowPunct/>
              <w:topLinePunct w:val="0"/>
              <w:autoSpaceDE/>
              <w:autoSpaceDN/>
              <w:bidi w:val="0"/>
              <w:adjustRightInd/>
              <w:snapToGrid w:val="0"/>
              <w:spacing w:before="200"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r>
      <w:tr w14:paraId="3B1BF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7C161869">
            <w:pPr>
              <w:keepNext w:val="0"/>
              <w:keepLines w:val="0"/>
              <w:pageBreakBefore w:val="0"/>
              <w:widowControl w:val="0"/>
              <w:kinsoku/>
              <w:wordWrap/>
              <w:overflowPunct/>
              <w:topLinePunct w:val="0"/>
              <w:autoSpaceDE/>
              <w:autoSpaceDN/>
              <w:bidi w:val="0"/>
              <w:adjustRightInd/>
              <w:snapToGrid w:val="0"/>
              <w:spacing w:before="206"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0" w:type="auto"/>
            <w:noWrap w:val="0"/>
            <w:vAlign w:val="center"/>
          </w:tcPr>
          <w:p w14:paraId="68A56B79">
            <w:pPr>
              <w:keepNext w:val="0"/>
              <w:keepLines w:val="0"/>
              <w:pageBreakBefore w:val="0"/>
              <w:widowControl w:val="0"/>
              <w:kinsoku/>
              <w:wordWrap/>
              <w:overflowPunct/>
              <w:topLinePunct w:val="0"/>
              <w:autoSpaceDE/>
              <w:autoSpaceDN/>
              <w:bidi w:val="0"/>
              <w:adjustRightInd/>
              <w:snapToGrid w:val="0"/>
              <w:spacing w:before="180"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5000 万元至 1 亿元的部分</w:t>
            </w:r>
          </w:p>
        </w:tc>
        <w:tc>
          <w:tcPr>
            <w:tcW w:w="3215" w:type="dxa"/>
            <w:noWrap w:val="0"/>
            <w:vAlign w:val="center"/>
          </w:tcPr>
          <w:p w14:paraId="25245A09">
            <w:pPr>
              <w:keepNext w:val="0"/>
              <w:keepLines w:val="0"/>
              <w:pageBreakBefore w:val="0"/>
              <w:widowControl w:val="0"/>
              <w:kinsoku/>
              <w:wordWrap/>
              <w:overflowPunct/>
              <w:topLinePunct w:val="0"/>
              <w:autoSpaceDE/>
              <w:autoSpaceDN/>
              <w:bidi w:val="0"/>
              <w:adjustRightInd/>
              <w:snapToGrid w:val="0"/>
              <w:spacing w:before="200"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w:t>
            </w:r>
          </w:p>
        </w:tc>
      </w:tr>
      <w:tr w14:paraId="5C824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021C2ECA">
            <w:pPr>
              <w:keepNext w:val="0"/>
              <w:keepLines w:val="0"/>
              <w:pageBreakBefore w:val="0"/>
              <w:widowControl w:val="0"/>
              <w:kinsoku/>
              <w:wordWrap/>
              <w:overflowPunct/>
              <w:topLinePunct w:val="0"/>
              <w:autoSpaceDE/>
              <w:autoSpaceDN/>
              <w:bidi w:val="0"/>
              <w:adjustRightInd/>
              <w:snapToGrid w:val="0"/>
              <w:spacing w:before="205"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0" w:type="auto"/>
            <w:noWrap w:val="0"/>
            <w:vAlign w:val="center"/>
          </w:tcPr>
          <w:p w14:paraId="6BAF11AA">
            <w:pPr>
              <w:keepNext w:val="0"/>
              <w:keepLines w:val="0"/>
              <w:pageBreakBefore w:val="0"/>
              <w:widowControl w:val="0"/>
              <w:kinsoku/>
              <w:wordWrap/>
              <w:overflowPunct/>
              <w:topLinePunct w:val="0"/>
              <w:autoSpaceDE/>
              <w:autoSpaceDN/>
              <w:bidi w:val="0"/>
              <w:adjustRightInd/>
              <w:snapToGrid w:val="0"/>
              <w:spacing w:before="183"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1 亿元至 5亿元的部分</w:t>
            </w:r>
          </w:p>
        </w:tc>
        <w:tc>
          <w:tcPr>
            <w:tcW w:w="3215" w:type="dxa"/>
            <w:noWrap w:val="0"/>
            <w:vAlign w:val="center"/>
          </w:tcPr>
          <w:p w14:paraId="03E7884E">
            <w:pPr>
              <w:keepNext w:val="0"/>
              <w:keepLines w:val="0"/>
              <w:pageBreakBefore w:val="0"/>
              <w:widowControl w:val="0"/>
              <w:kinsoku/>
              <w:wordWrap/>
              <w:overflowPunct/>
              <w:topLinePunct w:val="0"/>
              <w:autoSpaceDE/>
              <w:autoSpaceDN/>
              <w:bidi w:val="0"/>
              <w:adjustRightInd/>
              <w:snapToGrid w:val="0"/>
              <w:spacing w:before="203"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r>
      <w:tr w14:paraId="0C44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20" w:type="dxa"/>
            <w:noWrap w:val="0"/>
            <w:vAlign w:val="center"/>
          </w:tcPr>
          <w:p w14:paraId="310C0530">
            <w:pPr>
              <w:keepNext w:val="0"/>
              <w:keepLines w:val="0"/>
              <w:pageBreakBefore w:val="0"/>
              <w:widowControl w:val="0"/>
              <w:kinsoku/>
              <w:wordWrap/>
              <w:overflowPunct/>
              <w:topLinePunct w:val="0"/>
              <w:autoSpaceDE/>
              <w:autoSpaceDN/>
              <w:bidi w:val="0"/>
              <w:adjustRightInd/>
              <w:snapToGrid w:val="0"/>
              <w:spacing w:before="207"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5711" w:type="dxa"/>
            <w:noWrap w:val="0"/>
            <w:vAlign w:val="center"/>
          </w:tcPr>
          <w:p w14:paraId="27C03471">
            <w:pPr>
              <w:keepNext w:val="0"/>
              <w:keepLines w:val="0"/>
              <w:pageBreakBefore w:val="0"/>
              <w:widowControl w:val="0"/>
              <w:kinsoku/>
              <w:wordWrap/>
              <w:overflowPunct/>
              <w:topLinePunct w:val="0"/>
              <w:autoSpaceDE/>
              <w:autoSpaceDN/>
              <w:bidi w:val="0"/>
              <w:adjustRightInd/>
              <w:snapToGrid w:val="0"/>
              <w:spacing w:before="181"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 5 亿元的部分</w:t>
            </w:r>
          </w:p>
        </w:tc>
        <w:tc>
          <w:tcPr>
            <w:tcW w:w="3215" w:type="dxa"/>
            <w:noWrap w:val="0"/>
            <w:vAlign w:val="center"/>
          </w:tcPr>
          <w:p w14:paraId="432F624D">
            <w:pPr>
              <w:keepNext w:val="0"/>
              <w:keepLines w:val="0"/>
              <w:pageBreakBefore w:val="0"/>
              <w:widowControl w:val="0"/>
              <w:kinsoku/>
              <w:wordWrap/>
              <w:overflowPunct/>
              <w:topLinePunct w:val="0"/>
              <w:autoSpaceDE/>
              <w:autoSpaceDN/>
              <w:bidi w:val="0"/>
              <w:adjustRightInd/>
              <w:snapToGrid w:val="0"/>
              <w:spacing w:before="201"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r>
    </w:tbl>
    <w:p w14:paraId="6A1A813E">
      <w:pPr>
        <w:pStyle w:val="3"/>
        <w:keepNext w:val="0"/>
        <w:keepLines w:val="0"/>
        <w:pageBreakBefore w:val="0"/>
        <w:widowControl w:val="0"/>
        <w:kinsoku/>
        <w:overflowPunct/>
        <w:topLinePunct w:val="0"/>
        <w:autoSpaceDE/>
        <w:autoSpaceDN/>
        <w:bidi w:val="0"/>
        <w:adjustRightInd/>
        <w:spacing w:before="120" w:line="240" w:lineRule="auto"/>
        <w:ind w:firstLine="420" w:firstLineChars="200"/>
        <w:textAlignment w:val="auto"/>
        <w:rPr>
          <w:rFonts w:hint="eastAsia" w:ascii="宋体" w:hAnsi="宋体" w:eastAsia="宋体" w:cs="宋体"/>
          <w:color w:val="auto"/>
          <w:kern w:val="2"/>
          <w:sz w:val="21"/>
          <w:szCs w:val="21"/>
          <w:lang w:val="en-US" w:eastAsia="zh-CN" w:bidi="ar-SA"/>
        </w:rPr>
      </w:pPr>
    </w:p>
    <w:p w14:paraId="011CD725">
      <w:pPr>
        <w:pStyle w:val="3"/>
        <w:keepNext w:val="0"/>
        <w:keepLines w:val="0"/>
        <w:pageBreakBefore w:val="0"/>
        <w:widowControl w:val="0"/>
        <w:kinsoku/>
        <w:overflowPunct/>
        <w:topLinePunct w:val="0"/>
        <w:autoSpaceDE/>
        <w:autoSpaceDN/>
        <w:bidi w:val="0"/>
        <w:adjustRightInd/>
        <w:spacing w:before="120" w:line="240" w:lineRule="auto"/>
        <w:ind w:firstLine="420" w:firstLineChars="200"/>
        <w:textAlignment w:val="auto"/>
        <w:rPr>
          <w:rFonts w:hint="eastAsia" w:ascii="宋体" w:hAnsi="宋体" w:eastAsia="宋体" w:cs="宋体"/>
          <w:color w:val="auto"/>
          <w:kern w:val="2"/>
          <w:sz w:val="21"/>
          <w:szCs w:val="21"/>
          <w:lang w:val="en-US" w:eastAsia="zh-CN" w:bidi="ar-SA"/>
        </w:rPr>
      </w:pPr>
    </w:p>
    <w:p w14:paraId="3CD91F64">
      <w:pPr>
        <w:pStyle w:val="3"/>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（2）竞价方式交易</w:t>
      </w:r>
    </w:p>
    <w:tbl>
      <w:tblPr>
        <w:tblStyle w:val="20"/>
        <w:tblW w:w="96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4"/>
        <w:gridCol w:w="3508"/>
        <w:gridCol w:w="2137"/>
        <w:gridCol w:w="2579"/>
        <w:gridCol w:w="948"/>
      </w:tblGrid>
      <w:tr w14:paraId="6980B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Merge w:val="restart"/>
            <w:tcBorders>
              <w:bottom w:val="nil"/>
            </w:tcBorders>
            <w:noWrap w:val="0"/>
            <w:vAlign w:val="center"/>
          </w:tcPr>
          <w:p w14:paraId="175486D4">
            <w:pPr>
              <w:keepNext w:val="0"/>
              <w:keepLines w:val="0"/>
              <w:pageBreakBefore w:val="0"/>
              <w:widowControl w:val="0"/>
              <w:kinsoku/>
              <w:wordWrap/>
              <w:overflowPunct/>
              <w:topLinePunct w:val="0"/>
              <w:autoSpaceDE/>
              <w:autoSpaceDN/>
              <w:bidi w:val="0"/>
              <w:adjustRightInd/>
              <w:snapToGrid w:val="0"/>
              <w:spacing w:before="69"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分档</w:t>
            </w:r>
          </w:p>
        </w:tc>
        <w:tc>
          <w:tcPr>
            <w:tcW w:w="3508" w:type="dxa"/>
            <w:vMerge w:val="restart"/>
            <w:tcBorders>
              <w:bottom w:val="nil"/>
            </w:tcBorders>
            <w:noWrap w:val="0"/>
            <w:vAlign w:val="center"/>
          </w:tcPr>
          <w:p w14:paraId="1B256F38">
            <w:pPr>
              <w:keepNext w:val="0"/>
              <w:keepLines w:val="0"/>
              <w:pageBreakBefore w:val="0"/>
              <w:widowControl w:val="0"/>
              <w:kinsoku/>
              <w:wordWrap/>
              <w:overflowPunct/>
              <w:topLinePunct w:val="0"/>
              <w:autoSpaceDE/>
              <w:autoSpaceDN/>
              <w:bidi w:val="0"/>
              <w:adjustRightInd/>
              <w:snapToGrid w:val="0"/>
              <w:spacing w:before="69"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成交金额</w:t>
            </w:r>
          </w:p>
        </w:tc>
        <w:tc>
          <w:tcPr>
            <w:tcW w:w="2137" w:type="dxa"/>
            <w:vMerge w:val="restart"/>
            <w:tcBorders>
              <w:bottom w:val="nil"/>
            </w:tcBorders>
            <w:noWrap w:val="0"/>
            <w:vAlign w:val="center"/>
          </w:tcPr>
          <w:p w14:paraId="168BE68D">
            <w:pPr>
              <w:keepNext w:val="0"/>
              <w:keepLines w:val="0"/>
              <w:pageBreakBefore w:val="0"/>
              <w:widowControl w:val="0"/>
              <w:kinsoku/>
              <w:wordWrap/>
              <w:overflowPunct/>
              <w:topLinePunct w:val="0"/>
              <w:autoSpaceDE/>
              <w:autoSpaceDN/>
              <w:bidi w:val="0"/>
              <w:adjustRightInd/>
              <w:snapToGrid w:val="0"/>
              <w:spacing w:before="204"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基础服务费（费率）</w:t>
            </w:r>
          </w:p>
        </w:tc>
        <w:tc>
          <w:tcPr>
            <w:tcW w:w="2579" w:type="dxa"/>
            <w:gridSpan w:val="2"/>
            <w:noWrap w:val="0"/>
            <w:vAlign w:val="center"/>
          </w:tcPr>
          <w:p w14:paraId="4634F483">
            <w:pPr>
              <w:keepNext w:val="0"/>
              <w:keepLines w:val="0"/>
              <w:pageBreakBefore w:val="0"/>
              <w:widowControl w:val="0"/>
              <w:kinsoku/>
              <w:wordWrap/>
              <w:overflowPunct/>
              <w:topLinePunct w:val="0"/>
              <w:autoSpaceDE/>
              <w:autoSpaceDN/>
              <w:bidi w:val="0"/>
              <w:adjustRightInd/>
              <w:snapToGrid w:val="0"/>
              <w:spacing w:before="127"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加收服务费（费率）</w:t>
            </w:r>
          </w:p>
        </w:tc>
      </w:tr>
      <w:tr w14:paraId="219D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Merge w:val="continue"/>
            <w:tcBorders>
              <w:top w:val="nil"/>
            </w:tcBorders>
            <w:noWrap w:val="0"/>
            <w:vAlign w:val="center"/>
          </w:tcPr>
          <w:p w14:paraId="3CF0B0A0">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p>
        </w:tc>
        <w:tc>
          <w:tcPr>
            <w:tcW w:w="3508" w:type="dxa"/>
            <w:vMerge w:val="continue"/>
            <w:tcBorders>
              <w:top w:val="nil"/>
            </w:tcBorders>
            <w:noWrap w:val="0"/>
            <w:vAlign w:val="center"/>
          </w:tcPr>
          <w:p w14:paraId="493D47AA">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p>
        </w:tc>
        <w:tc>
          <w:tcPr>
            <w:tcW w:w="2137" w:type="dxa"/>
            <w:vMerge w:val="continue"/>
            <w:tcBorders>
              <w:top w:val="nil"/>
            </w:tcBorders>
            <w:noWrap w:val="0"/>
            <w:vAlign w:val="center"/>
          </w:tcPr>
          <w:p w14:paraId="229B40A8">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p>
        </w:tc>
        <w:tc>
          <w:tcPr>
            <w:tcW w:w="2579" w:type="dxa"/>
            <w:noWrap w:val="0"/>
            <w:vAlign w:val="center"/>
          </w:tcPr>
          <w:p w14:paraId="137BD22F">
            <w:pPr>
              <w:keepNext w:val="0"/>
              <w:keepLines w:val="0"/>
              <w:pageBreakBefore w:val="0"/>
              <w:widowControl w:val="0"/>
              <w:kinsoku/>
              <w:wordWrap/>
              <w:overflowPunct/>
              <w:topLinePunct w:val="0"/>
              <w:autoSpaceDE/>
              <w:autoSpaceDN/>
              <w:bidi w:val="0"/>
              <w:adjustRightInd/>
              <w:snapToGrid w:val="0"/>
              <w:spacing w:before="122"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底价部分</w:t>
            </w:r>
          </w:p>
        </w:tc>
        <w:tc>
          <w:tcPr>
            <w:tcW w:w="948" w:type="dxa"/>
            <w:noWrap w:val="0"/>
            <w:vAlign w:val="center"/>
          </w:tcPr>
          <w:p w14:paraId="3CD63D1F">
            <w:pPr>
              <w:keepNext w:val="0"/>
              <w:keepLines w:val="0"/>
              <w:pageBreakBefore w:val="0"/>
              <w:widowControl w:val="0"/>
              <w:kinsoku/>
              <w:wordWrap/>
              <w:overflowPunct/>
              <w:topLinePunct w:val="0"/>
              <w:autoSpaceDE/>
              <w:autoSpaceDN/>
              <w:bidi w:val="0"/>
              <w:adjustRightInd/>
              <w:snapToGrid w:val="0"/>
              <w:spacing w:before="122" w:line="240" w:lineRule="auto"/>
              <w:ind w:left="0" w:leftChars="0" w:right="0" w:rightChars="0"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溢价部分</w:t>
            </w:r>
          </w:p>
        </w:tc>
      </w:tr>
      <w:tr w14:paraId="7BAC6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7CF30485">
            <w:pPr>
              <w:keepNext w:val="0"/>
              <w:keepLines w:val="0"/>
              <w:pageBreakBefore w:val="0"/>
              <w:widowControl w:val="0"/>
              <w:kinsoku/>
              <w:wordWrap/>
              <w:overflowPunct/>
              <w:topLinePunct w:val="0"/>
              <w:autoSpaceDE/>
              <w:autoSpaceDN/>
              <w:bidi w:val="0"/>
              <w:adjustRightInd/>
              <w:snapToGrid w:val="0"/>
              <w:spacing w:before="203"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3508" w:type="dxa"/>
            <w:noWrap w:val="0"/>
            <w:vAlign w:val="center"/>
          </w:tcPr>
          <w:p w14:paraId="77CCDDA9">
            <w:pPr>
              <w:keepNext w:val="0"/>
              <w:keepLines w:val="0"/>
              <w:pageBreakBefore w:val="0"/>
              <w:widowControl w:val="0"/>
              <w:kinsoku/>
              <w:wordWrap/>
              <w:overflowPunct/>
              <w:topLinePunct w:val="0"/>
              <w:autoSpaceDE/>
              <w:autoSpaceDN/>
              <w:bidi w:val="0"/>
              <w:adjustRightInd/>
              <w:snapToGrid w:val="0"/>
              <w:spacing w:before="17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不超过100万元的</w:t>
            </w:r>
          </w:p>
        </w:tc>
        <w:tc>
          <w:tcPr>
            <w:tcW w:w="2137" w:type="dxa"/>
            <w:noWrap w:val="0"/>
            <w:vAlign w:val="center"/>
          </w:tcPr>
          <w:p w14:paraId="33E28932">
            <w:pPr>
              <w:keepNext w:val="0"/>
              <w:keepLines w:val="0"/>
              <w:pageBreakBefore w:val="0"/>
              <w:widowControl w:val="0"/>
              <w:kinsoku/>
              <w:wordWrap/>
              <w:overflowPunct/>
              <w:topLinePunct w:val="0"/>
              <w:autoSpaceDE/>
              <w:autoSpaceDN/>
              <w:bidi w:val="0"/>
              <w:adjustRightInd/>
              <w:snapToGrid w:val="0"/>
              <w:spacing w:before="206"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3000元</w:t>
            </w:r>
          </w:p>
        </w:tc>
        <w:tc>
          <w:tcPr>
            <w:tcW w:w="2579" w:type="dxa"/>
            <w:vMerge w:val="restart"/>
            <w:tcBorders>
              <w:bottom w:val="nil"/>
            </w:tcBorders>
            <w:noWrap w:val="0"/>
            <w:vAlign w:val="center"/>
          </w:tcPr>
          <w:p w14:paraId="681D0381">
            <w:pPr>
              <w:keepNext w:val="0"/>
              <w:keepLines w:val="0"/>
              <w:pageBreakBefore w:val="0"/>
              <w:widowControl w:val="0"/>
              <w:kinsoku/>
              <w:wordWrap/>
              <w:overflowPunct/>
              <w:topLinePunct w:val="0"/>
              <w:autoSpaceDE/>
              <w:autoSpaceDN/>
              <w:bidi w:val="0"/>
              <w:adjustRightInd/>
              <w:snapToGrid w:val="0"/>
              <w:spacing w:before="6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0.8%（不超过1亿元的）</w:t>
            </w:r>
          </w:p>
        </w:tc>
        <w:tc>
          <w:tcPr>
            <w:tcW w:w="948" w:type="dxa"/>
            <w:vMerge w:val="restart"/>
            <w:tcBorders>
              <w:bottom w:val="nil"/>
            </w:tcBorders>
            <w:noWrap w:val="0"/>
            <w:vAlign w:val="center"/>
          </w:tcPr>
          <w:p w14:paraId="5FC886CE">
            <w:pPr>
              <w:keepNext w:val="0"/>
              <w:keepLines w:val="0"/>
              <w:pageBreakBefore w:val="0"/>
              <w:widowControl w:val="0"/>
              <w:kinsoku/>
              <w:wordWrap/>
              <w:overflowPunct/>
              <w:topLinePunct w:val="0"/>
              <w:autoSpaceDE/>
              <w:autoSpaceDN/>
              <w:bidi w:val="0"/>
              <w:adjustRightInd/>
              <w:snapToGrid w:val="0"/>
              <w:spacing w:before="61"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r>
      <w:tr w14:paraId="2C8B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0CDB8BB4">
            <w:pPr>
              <w:keepNext w:val="0"/>
              <w:keepLines w:val="0"/>
              <w:pageBreakBefore w:val="0"/>
              <w:widowControl w:val="0"/>
              <w:kinsoku/>
              <w:wordWrap/>
              <w:overflowPunct/>
              <w:topLinePunct w:val="0"/>
              <w:autoSpaceDE/>
              <w:autoSpaceDN/>
              <w:bidi w:val="0"/>
              <w:adjustRightInd/>
              <w:snapToGrid w:val="0"/>
              <w:spacing w:before="20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3508" w:type="dxa"/>
            <w:noWrap w:val="0"/>
            <w:vAlign w:val="center"/>
          </w:tcPr>
          <w:p w14:paraId="0C34C0C4">
            <w:pPr>
              <w:keepNext w:val="0"/>
              <w:keepLines w:val="0"/>
              <w:pageBreakBefore w:val="0"/>
              <w:widowControl w:val="0"/>
              <w:kinsoku/>
              <w:wordWrap/>
              <w:overflowPunct/>
              <w:topLinePunct w:val="0"/>
              <w:autoSpaceDE/>
              <w:autoSpaceDN/>
              <w:bidi w:val="0"/>
              <w:adjustRightInd/>
              <w:snapToGrid w:val="0"/>
              <w:spacing w:before="17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超过100万元至500万元的部分</w:t>
            </w:r>
          </w:p>
        </w:tc>
        <w:tc>
          <w:tcPr>
            <w:tcW w:w="2137" w:type="dxa"/>
            <w:noWrap w:val="0"/>
            <w:vAlign w:val="center"/>
          </w:tcPr>
          <w:p w14:paraId="70EF197B">
            <w:pPr>
              <w:keepNext w:val="0"/>
              <w:keepLines w:val="0"/>
              <w:pageBreakBefore w:val="0"/>
              <w:widowControl w:val="0"/>
              <w:kinsoku/>
              <w:wordWrap/>
              <w:overflowPunct/>
              <w:topLinePunct w:val="0"/>
              <w:autoSpaceDE/>
              <w:autoSpaceDN/>
              <w:bidi w:val="0"/>
              <w:adjustRightInd/>
              <w:snapToGrid w:val="0"/>
              <w:spacing w:before="19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2579" w:type="dxa"/>
            <w:vMerge w:val="continue"/>
            <w:tcBorders>
              <w:top w:val="nil"/>
              <w:bottom w:val="nil"/>
            </w:tcBorders>
            <w:noWrap w:val="0"/>
            <w:vAlign w:val="center"/>
          </w:tcPr>
          <w:p w14:paraId="676E40EA">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948" w:type="dxa"/>
            <w:vMerge w:val="continue"/>
            <w:tcBorders>
              <w:top w:val="nil"/>
              <w:bottom w:val="nil"/>
            </w:tcBorders>
            <w:noWrap w:val="0"/>
            <w:vAlign w:val="center"/>
          </w:tcPr>
          <w:p w14:paraId="3FE959AB">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r>
      <w:tr w14:paraId="3BA41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28F6BD73">
            <w:pPr>
              <w:keepNext w:val="0"/>
              <w:keepLines w:val="0"/>
              <w:pageBreakBefore w:val="0"/>
              <w:widowControl w:val="0"/>
              <w:kinsoku/>
              <w:wordWrap/>
              <w:overflowPunct/>
              <w:topLinePunct w:val="0"/>
              <w:autoSpaceDE/>
              <w:autoSpaceDN/>
              <w:bidi w:val="0"/>
              <w:adjustRightInd/>
              <w:snapToGrid w:val="0"/>
              <w:spacing w:before="20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3508" w:type="dxa"/>
            <w:noWrap w:val="0"/>
            <w:vAlign w:val="center"/>
          </w:tcPr>
          <w:p w14:paraId="2EEDEA4A">
            <w:pPr>
              <w:keepNext w:val="0"/>
              <w:keepLines w:val="0"/>
              <w:pageBreakBefore w:val="0"/>
              <w:widowControl w:val="0"/>
              <w:kinsoku/>
              <w:wordWrap/>
              <w:overflowPunct/>
              <w:topLinePunct w:val="0"/>
              <w:autoSpaceDE/>
              <w:autoSpaceDN/>
              <w:bidi w:val="0"/>
              <w:adjustRightInd/>
              <w:snapToGrid w:val="0"/>
              <w:spacing w:before="17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超过500万元至2000万元的部分</w:t>
            </w:r>
          </w:p>
        </w:tc>
        <w:tc>
          <w:tcPr>
            <w:tcW w:w="2137" w:type="dxa"/>
            <w:noWrap w:val="0"/>
            <w:vAlign w:val="center"/>
          </w:tcPr>
          <w:p w14:paraId="3B95BCD4">
            <w:pPr>
              <w:keepNext w:val="0"/>
              <w:keepLines w:val="0"/>
              <w:pageBreakBefore w:val="0"/>
              <w:widowControl w:val="0"/>
              <w:kinsoku/>
              <w:wordWrap/>
              <w:overflowPunct/>
              <w:topLinePunct w:val="0"/>
              <w:autoSpaceDE/>
              <w:autoSpaceDN/>
              <w:bidi w:val="0"/>
              <w:adjustRightInd/>
              <w:snapToGrid w:val="0"/>
              <w:spacing w:before="19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w:t>
            </w:r>
          </w:p>
        </w:tc>
        <w:tc>
          <w:tcPr>
            <w:tcW w:w="2579" w:type="dxa"/>
            <w:vMerge w:val="continue"/>
            <w:tcBorders>
              <w:top w:val="nil"/>
              <w:bottom w:val="nil"/>
            </w:tcBorders>
            <w:noWrap w:val="0"/>
            <w:vAlign w:val="center"/>
          </w:tcPr>
          <w:p w14:paraId="7AA65E38">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948" w:type="dxa"/>
            <w:vMerge w:val="continue"/>
            <w:tcBorders>
              <w:top w:val="nil"/>
              <w:bottom w:val="nil"/>
            </w:tcBorders>
            <w:noWrap w:val="0"/>
            <w:vAlign w:val="center"/>
          </w:tcPr>
          <w:p w14:paraId="568FCD69">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r>
      <w:tr w14:paraId="6DA3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0E4E97F9">
            <w:pPr>
              <w:keepNext w:val="0"/>
              <w:keepLines w:val="0"/>
              <w:pageBreakBefore w:val="0"/>
              <w:widowControl w:val="0"/>
              <w:kinsoku/>
              <w:wordWrap/>
              <w:overflowPunct/>
              <w:topLinePunct w:val="0"/>
              <w:autoSpaceDE/>
              <w:autoSpaceDN/>
              <w:bidi w:val="0"/>
              <w:adjustRightInd/>
              <w:snapToGrid w:val="0"/>
              <w:spacing w:before="203"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3508" w:type="dxa"/>
            <w:noWrap w:val="0"/>
            <w:vAlign w:val="center"/>
          </w:tcPr>
          <w:p w14:paraId="7DCC83E2">
            <w:pPr>
              <w:keepNext w:val="0"/>
              <w:keepLines w:val="0"/>
              <w:pageBreakBefore w:val="0"/>
              <w:widowControl w:val="0"/>
              <w:kinsoku/>
              <w:wordWrap/>
              <w:overflowPunct/>
              <w:topLinePunct w:val="0"/>
              <w:autoSpaceDE/>
              <w:autoSpaceDN/>
              <w:bidi w:val="0"/>
              <w:adjustRightInd/>
              <w:snapToGrid w:val="0"/>
              <w:spacing w:before="180"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超过2000万元至5000万元的部分</w:t>
            </w:r>
          </w:p>
        </w:tc>
        <w:tc>
          <w:tcPr>
            <w:tcW w:w="2137" w:type="dxa"/>
            <w:noWrap w:val="0"/>
            <w:vAlign w:val="center"/>
          </w:tcPr>
          <w:p w14:paraId="1B9A51D8">
            <w:pPr>
              <w:keepNext w:val="0"/>
              <w:keepLines w:val="0"/>
              <w:pageBreakBefore w:val="0"/>
              <w:widowControl w:val="0"/>
              <w:kinsoku/>
              <w:wordWrap/>
              <w:overflowPunct/>
              <w:topLinePunct w:val="0"/>
              <w:autoSpaceDE/>
              <w:autoSpaceDN/>
              <w:bidi w:val="0"/>
              <w:adjustRightInd/>
              <w:snapToGrid w:val="0"/>
              <w:spacing w:before="200"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c>
          <w:tcPr>
            <w:tcW w:w="2579" w:type="dxa"/>
            <w:vMerge w:val="continue"/>
            <w:tcBorders>
              <w:top w:val="nil"/>
              <w:bottom w:val="nil"/>
            </w:tcBorders>
            <w:noWrap w:val="0"/>
            <w:vAlign w:val="center"/>
          </w:tcPr>
          <w:p w14:paraId="3062F632">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948" w:type="dxa"/>
            <w:vMerge w:val="continue"/>
            <w:tcBorders>
              <w:top w:val="nil"/>
              <w:bottom w:val="nil"/>
            </w:tcBorders>
            <w:noWrap w:val="0"/>
            <w:vAlign w:val="center"/>
          </w:tcPr>
          <w:p w14:paraId="259C633B">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r>
      <w:tr w14:paraId="668EA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76601140">
            <w:pPr>
              <w:keepNext w:val="0"/>
              <w:keepLines w:val="0"/>
              <w:pageBreakBefore w:val="0"/>
              <w:widowControl w:val="0"/>
              <w:kinsoku/>
              <w:wordWrap/>
              <w:overflowPunct/>
              <w:topLinePunct w:val="0"/>
              <w:autoSpaceDE/>
              <w:autoSpaceDN/>
              <w:bidi w:val="0"/>
              <w:adjustRightInd/>
              <w:snapToGrid w:val="0"/>
              <w:spacing w:before="209"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3508" w:type="dxa"/>
            <w:noWrap w:val="0"/>
            <w:vAlign w:val="center"/>
          </w:tcPr>
          <w:p w14:paraId="57845C9E">
            <w:pPr>
              <w:keepNext w:val="0"/>
              <w:keepLines w:val="0"/>
              <w:pageBreakBefore w:val="0"/>
              <w:widowControl w:val="0"/>
              <w:kinsoku/>
              <w:wordWrap/>
              <w:overflowPunct/>
              <w:topLinePunct w:val="0"/>
              <w:autoSpaceDE/>
              <w:autoSpaceDN/>
              <w:bidi w:val="0"/>
              <w:adjustRightInd/>
              <w:snapToGrid w:val="0"/>
              <w:spacing w:before="183"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超过5000万元至1亿元的部分</w:t>
            </w:r>
          </w:p>
        </w:tc>
        <w:tc>
          <w:tcPr>
            <w:tcW w:w="2137" w:type="dxa"/>
            <w:noWrap w:val="0"/>
            <w:vAlign w:val="center"/>
          </w:tcPr>
          <w:p w14:paraId="4533C7E0">
            <w:pPr>
              <w:keepNext w:val="0"/>
              <w:keepLines w:val="0"/>
              <w:pageBreakBefore w:val="0"/>
              <w:widowControl w:val="0"/>
              <w:kinsoku/>
              <w:wordWrap/>
              <w:overflowPunct/>
              <w:topLinePunct w:val="0"/>
              <w:autoSpaceDE/>
              <w:autoSpaceDN/>
              <w:bidi w:val="0"/>
              <w:adjustRightInd/>
              <w:snapToGrid w:val="0"/>
              <w:spacing w:before="203"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w:t>
            </w:r>
          </w:p>
        </w:tc>
        <w:tc>
          <w:tcPr>
            <w:tcW w:w="2579" w:type="dxa"/>
            <w:vMerge w:val="continue"/>
            <w:tcBorders>
              <w:top w:val="nil"/>
            </w:tcBorders>
            <w:noWrap w:val="0"/>
            <w:vAlign w:val="center"/>
          </w:tcPr>
          <w:p w14:paraId="181E194A">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948" w:type="dxa"/>
            <w:vMerge w:val="continue"/>
            <w:tcBorders>
              <w:top w:val="nil"/>
              <w:bottom w:val="nil"/>
            </w:tcBorders>
            <w:noWrap w:val="0"/>
            <w:vAlign w:val="center"/>
          </w:tcPr>
          <w:p w14:paraId="5C2B88C8">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r>
      <w:tr w14:paraId="0D731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noWrap w:val="0"/>
            <w:vAlign w:val="center"/>
          </w:tcPr>
          <w:p w14:paraId="625EC7F9">
            <w:pPr>
              <w:keepNext w:val="0"/>
              <w:keepLines w:val="0"/>
              <w:pageBreakBefore w:val="0"/>
              <w:widowControl w:val="0"/>
              <w:kinsoku/>
              <w:wordWrap/>
              <w:overflowPunct/>
              <w:topLinePunct w:val="0"/>
              <w:autoSpaceDE/>
              <w:autoSpaceDN/>
              <w:bidi w:val="0"/>
              <w:adjustRightInd/>
              <w:snapToGrid w:val="0"/>
              <w:spacing w:before="204"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3508" w:type="dxa"/>
            <w:noWrap w:val="0"/>
            <w:vAlign w:val="center"/>
          </w:tcPr>
          <w:p w14:paraId="3F4452E2">
            <w:pPr>
              <w:keepNext w:val="0"/>
              <w:keepLines w:val="0"/>
              <w:pageBreakBefore w:val="0"/>
              <w:widowControl w:val="0"/>
              <w:kinsoku/>
              <w:wordWrap/>
              <w:overflowPunct/>
              <w:topLinePunct w:val="0"/>
              <w:autoSpaceDE/>
              <w:autoSpaceDN/>
              <w:bidi w:val="0"/>
              <w:adjustRightInd/>
              <w:snapToGrid w:val="0"/>
              <w:spacing w:before="181"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超过1亿元至5亿元的部分</w:t>
            </w:r>
          </w:p>
        </w:tc>
        <w:tc>
          <w:tcPr>
            <w:tcW w:w="2137" w:type="dxa"/>
            <w:noWrap w:val="0"/>
            <w:vAlign w:val="center"/>
          </w:tcPr>
          <w:p w14:paraId="7B1E50BD">
            <w:pPr>
              <w:keepNext w:val="0"/>
              <w:keepLines w:val="0"/>
              <w:pageBreakBefore w:val="0"/>
              <w:widowControl w:val="0"/>
              <w:kinsoku/>
              <w:wordWrap/>
              <w:overflowPunct/>
              <w:topLinePunct w:val="0"/>
              <w:autoSpaceDE/>
              <w:autoSpaceDN/>
              <w:bidi w:val="0"/>
              <w:adjustRightInd/>
              <w:snapToGrid w:val="0"/>
              <w:spacing w:before="20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c>
          <w:tcPr>
            <w:tcW w:w="2579" w:type="dxa"/>
            <w:noWrap w:val="0"/>
            <w:vAlign w:val="center"/>
          </w:tcPr>
          <w:p w14:paraId="2374AC47">
            <w:pPr>
              <w:keepNext w:val="0"/>
              <w:keepLines w:val="0"/>
              <w:pageBreakBefore w:val="0"/>
              <w:widowControl w:val="0"/>
              <w:kinsoku/>
              <w:wordWrap/>
              <w:overflowPunct/>
              <w:topLinePunct w:val="0"/>
              <w:autoSpaceDE/>
              <w:autoSpaceDN/>
              <w:bidi w:val="0"/>
              <w:adjustRightInd/>
              <w:snapToGrid w:val="0"/>
              <w:spacing w:before="204"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0.6%</w:t>
            </w:r>
          </w:p>
        </w:tc>
        <w:tc>
          <w:tcPr>
            <w:tcW w:w="948" w:type="dxa"/>
            <w:vMerge w:val="continue"/>
            <w:tcBorders>
              <w:top w:val="nil"/>
              <w:bottom w:val="nil"/>
            </w:tcBorders>
            <w:noWrap w:val="0"/>
            <w:vAlign w:val="center"/>
          </w:tcPr>
          <w:p w14:paraId="02B4F985">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r>
      <w:tr w14:paraId="6353E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75" w:type="dxa"/>
            <w:noWrap w:val="0"/>
            <w:vAlign w:val="center"/>
          </w:tcPr>
          <w:p w14:paraId="51BC56DB">
            <w:pPr>
              <w:keepNext w:val="0"/>
              <w:keepLines w:val="0"/>
              <w:pageBreakBefore w:val="0"/>
              <w:widowControl w:val="0"/>
              <w:kinsoku/>
              <w:wordWrap/>
              <w:overflowPunct/>
              <w:topLinePunct w:val="0"/>
              <w:autoSpaceDE/>
              <w:autoSpaceDN/>
              <w:bidi w:val="0"/>
              <w:adjustRightInd/>
              <w:snapToGrid w:val="0"/>
              <w:spacing w:before="208"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3508" w:type="dxa"/>
            <w:noWrap w:val="0"/>
            <w:vAlign w:val="center"/>
          </w:tcPr>
          <w:p w14:paraId="6283C513">
            <w:pPr>
              <w:keepNext w:val="0"/>
              <w:keepLines w:val="0"/>
              <w:pageBreakBefore w:val="0"/>
              <w:widowControl w:val="0"/>
              <w:kinsoku/>
              <w:wordWrap/>
              <w:overflowPunct/>
              <w:topLinePunct w:val="0"/>
              <w:autoSpaceDE/>
              <w:autoSpaceDN/>
              <w:bidi w:val="0"/>
              <w:adjustRightInd/>
              <w:snapToGrid w:val="0"/>
              <w:spacing w:before="18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超过5亿元的部分</w:t>
            </w:r>
          </w:p>
        </w:tc>
        <w:tc>
          <w:tcPr>
            <w:tcW w:w="2137" w:type="dxa"/>
            <w:noWrap w:val="0"/>
            <w:vAlign w:val="center"/>
          </w:tcPr>
          <w:p w14:paraId="71055E39">
            <w:pPr>
              <w:keepNext w:val="0"/>
              <w:keepLines w:val="0"/>
              <w:pageBreakBefore w:val="0"/>
              <w:widowControl w:val="0"/>
              <w:kinsoku/>
              <w:wordWrap/>
              <w:overflowPunct/>
              <w:topLinePunct w:val="0"/>
              <w:autoSpaceDE/>
              <w:autoSpaceDN/>
              <w:bidi w:val="0"/>
              <w:adjustRightInd/>
              <w:snapToGrid w:val="0"/>
              <w:spacing w:before="202"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c>
          <w:tcPr>
            <w:tcW w:w="2579" w:type="dxa"/>
            <w:noWrap w:val="0"/>
            <w:vAlign w:val="center"/>
          </w:tcPr>
          <w:p w14:paraId="51ACD30E">
            <w:pPr>
              <w:keepNext w:val="0"/>
              <w:keepLines w:val="0"/>
              <w:pageBreakBefore w:val="0"/>
              <w:widowControl w:val="0"/>
              <w:kinsoku/>
              <w:wordWrap/>
              <w:overflowPunct/>
              <w:topLinePunct w:val="0"/>
              <w:autoSpaceDE/>
              <w:autoSpaceDN/>
              <w:bidi w:val="0"/>
              <w:adjustRightInd/>
              <w:snapToGrid w:val="0"/>
              <w:spacing w:before="204"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c>
          <w:tcPr>
            <w:tcW w:w="948" w:type="dxa"/>
            <w:vMerge w:val="continue"/>
            <w:tcBorders>
              <w:top w:val="nil"/>
            </w:tcBorders>
            <w:noWrap w:val="0"/>
            <w:vAlign w:val="center"/>
          </w:tcPr>
          <w:p w14:paraId="21FC2596">
            <w:pPr>
              <w:pStyle w:val="2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r>
    </w:tbl>
    <w:p w14:paraId="51CC8A73">
      <w:pPr>
        <w:keepNext w:val="0"/>
        <w:keepLines w:val="0"/>
        <w:pageBreakBefore w:val="0"/>
        <w:kinsoku/>
        <w:wordWrap/>
        <w:overflowPunct/>
        <w:topLinePunct w:val="0"/>
        <w:autoSpaceDE/>
        <w:autoSpaceDN/>
        <w:bidi w:val="0"/>
        <w:adjustRightInd w:val="0"/>
        <w:snapToGrid w:val="0"/>
        <w:spacing w:beforeAutospacing="0" w:afterAutospacing="0" w:line="300" w:lineRule="exac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注：a.交易服务费采取定额、超额累退方式计费。</w:t>
      </w:r>
    </w:p>
    <w:p w14:paraId="16E14CEA">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 xml:space="preserve">b.成交金额1万元（含）以下，服务费为500元；1万元以上至3万元（含）以下，服务费为1000元。 </w:t>
      </w:r>
    </w:p>
    <w:p w14:paraId="6CBF3EC6">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c. 以竞价方式交易但未产生溢价的，只收取基础服务费</w:t>
      </w:r>
    </w:p>
    <w:p w14:paraId="35980B4D">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2</w:t>
      </w:r>
      <w:r>
        <w:rPr>
          <w:rFonts w:hint="eastAsia" w:ascii="方正仿宋_GBK" w:hAnsi="方正仿宋_GBK" w:eastAsia="方正仿宋_GBK" w:cs="方正仿宋_GBK"/>
          <w:color w:val="000000"/>
          <w:sz w:val="21"/>
          <w:szCs w:val="21"/>
        </w:rPr>
        <w:t>、一旦被连云港市产权交易所有限公司确定为受让方，在</w:t>
      </w:r>
      <w:r>
        <w:rPr>
          <w:rFonts w:hint="eastAsia" w:ascii="方正仿宋_GBK" w:hAnsi="方正仿宋_GBK" w:eastAsia="方正仿宋_GBK" w:cs="方正仿宋_GBK"/>
          <w:color w:val="000000"/>
          <w:sz w:val="21"/>
          <w:szCs w:val="21"/>
          <w:lang w:val="en-US" w:eastAsia="zh-CN"/>
        </w:rPr>
        <w:t>五</w:t>
      </w:r>
      <w:r>
        <w:rPr>
          <w:rFonts w:hint="eastAsia" w:ascii="方正仿宋_GBK" w:hAnsi="方正仿宋_GBK" w:eastAsia="方正仿宋_GBK" w:cs="方正仿宋_GBK"/>
          <w:color w:val="000000"/>
          <w:sz w:val="21"/>
          <w:szCs w:val="21"/>
        </w:rPr>
        <w:t>个工作日内与转让方签订《</w:t>
      </w:r>
      <w:r>
        <w:rPr>
          <w:rFonts w:hint="eastAsia" w:ascii="方正仿宋_GBK" w:hAnsi="方正仿宋_GBK" w:eastAsia="方正仿宋_GBK" w:cs="方正仿宋_GBK"/>
          <w:color w:val="000000"/>
          <w:sz w:val="21"/>
          <w:szCs w:val="21"/>
          <w:lang w:eastAsia="zh-CN"/>
        </w:rPr>
        <w:t>国有资产转让合同</w:t>
      </w:r>
      <w:r>
        <w:rPr>
          <w:rFonts w:hint="eastAsia" w:ascii="方正仿宋_GBK" w:hAnsi="方正仿宋_GBK" w:eastAsia="方正仿宋_GBK" w:cs="方正仿宋_GBK"/>
          <w:color w:val="000000"/>
          <w:sz w:val="21"/>
          <w:szCs w:val="21"/>
        </w:rPr>
        <w:t>》。</w:t>
      </w:r>
    </w:p>
    <w:p w14:paraId="0DD6A09A">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3</w:t>
      </w:r>
      <w:r>
        <w:rPr>
          <w:rFonts w:hint="eastAsia" w:ascii="方正仿宋_GBK" w:hAnsi="方正仿宋_GBK" w:eastAsia="方正仿宋_GBK" w:cs="方正仿宋_GBK"/>
          <w:color w:val="000000"/>
          <w:sz w:val="21"/>
          <w:szCs w:val="21"/>
        </w:rPr>
        <w:t>、标的交割过程中产生的一切安全、经济责任和纠纷由我方自行与转让方双方协商解决。</w:t>
      </w:r>
    </w:p>
    <w:p w14:paraId="06F602B7">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hint="eastAsia" w:ascii="方正仿宋_GBK" w:hAnsi="方正仿宋_GBK" w:eastAsia="方正仿宋_GBK" w:cs="方正仿宋_GBK"/>
          <w:color w:val="000000"/>
          <w:sz w:val="21"/>
          <w:szCs w:val="21"/>
          <w:lang w:val="en-US" w:eastAsia="zh-CN"/>
        </w:rPr>
        <w:t>4</w:t>
      </w:r>
      <w:r>
        <w:rPr>
          <w:rFonts w:hint="eastAsia" w:ascii="方正仿宋_GBK" w:hAnsi="方正仿宋_GBK" w:eastAsia="方正仿宋_GBK" w:cs="方正仿宋_GBK"/>
          <w:color w:val="000000"/>
          <w:sz w:val="21"/>
          <w:szCs w:val="21"/>
        </w:rPr>
        <w:t>、我方与该项目交易所涉各方不存在关联关系和利益输送情形，由此产生的一切纠纷、诉讼和责任由我方自行解决。</w:t>
      </w:r>
    </w:p>
    <w:p w14:paraId="1500F41D">
      <w:pPr>
        <w:keepNext w:val="0"/>
        <w:keepLines w:val="0"/>
        <w:pageBreakBefore w:val="0"/>
        <w:kinsoku/>
        <w:wordWrap/>
        <w:overflowPunct/>
        <w:topLinePunct w:val="0"/>
        <w:autoSpaceDE/>
        <w:autoSpaceDN/>
        <w:bidi w:val="0"/>
        <w:adjustRightInd w:val="0"/>
        <w:snapToGrid w:val="0"/>
        <w:spacing w:beforeAutospacing="0" w:afterAutospacing="0" w:line="300" w:lineRule="exact"/>
        <w:ind w:firstLine="420" w:firstLineChars="20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 xml:space="preserve">我方保证遵守以上承诺，如违反上述承诺或有违规行为，给交易相关方造成损失的，我方愿意承担法律责任及相应的经济赔偿责任。  </w:t>
      </w:r>
      <w:r>
        <w:rPr>
          <w:rFonts w:ascii="Times New Roman" w:hAnsi="Times New Roman"/>
          <w:bCs/>
          <w:color w:val="000000"/>
          <w:szCs w:val="21"/>
        </w:rPr>
        <w:t xml:space="preserve">                </w:t>
      </w:r>
    </w:p>
    <w:p w14:paraId="09D9A2CF">
      <w:pPr>
        <w:adjustRightInd w:val="0"/>
        <w:snapToGrid w:val="0"/>
        <w:spacing w:line="300" w:lineRule="exact"/>
        <w:jc w:val="both"/>
        <w:rPr>
          <w:rFonts w:hint="eastAsia" w:ascii="方正仿宋_GBK" w:hAnsi="方正仿宋_GBK" w:eastAsia="方正仿宋_GBK" w:cs="方正仿宋_GBK"/>
          <w:bCs/>
          <w:color w:val="000000"/>
          <w:sz w:val="21"/>
          <w:szCs w:val="21"/>
        </w:rPr>
      </w:pPr>
    </w:p>
    <w:p w14:paraId="185AFCF1">
      <w:pPr>
        <w:adjustRightInd w:val="0"/>
        <w:snapToGrid w:val="0"/>
        <w:spacing w:line="300" w:lineRule="exact"/>
        <w:jc w:val="both"/>
        <w:rPr>
          <w:rFonts w:hint="eastAsia" w:ascii="方正仿宋_GBK" w:hAnsi="方正仿宋_GBK" w:eastAsia="方正仿宋_GBK" w:cs="方正仿宋_GBK"/>
          <w:bCs/>
          <w:color w:val="000000"/>
          <w:sz w:val="21"/>
          <w:szCs w:val="21"/>
        </w:rPr>
      </w:pPr>
    </w:p>
    <w:p w14:paraId="4197A6C2">
      <w:pPr>
        <w:adjustRightInd w:val="0"/>
        <w:snapToGrid w:val="0"/>
        <w:spacing w:line="300" w:lineRule="exact"/>
        <w:jc w:val="both"/>
        <w:rPr>
          <w:rFonts w:hint="eastAsia" w:ascii="方正仿宋_GBK" w:hAnsi="方正仿宋_GBK" w:eastAsia="方正仿宋_GBK" w:cs="方正仿宋_GBK"/>
          <w:bCs/>
          <w:color w:val="000000"/>
          <w:sz w:val="21"/>
          <w:szCs w:val="21"/>
        </w:rPr>
      </w:pPr>
    </w:p>
    <w:p w14:paraId="62856AB9">
      <w:pPr>
        <w:ind w:firstLine="4200" w:firstLineChars="20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意向受让方（签字</w:t>
      </w:r>
      <w:r>
        <w:rPr>
          <w:rFonts w:hint="eastAsia" w:ascii="方正仿宋_GBK" w:hAnsi="方正仿宋_GBK" w:eastAsia="方正仿宋_GBK" w:cs="方正仿宋_GBK"/>
          <w:sz w:val="21"/>
          <w:szCs w:val="21"/>
          <w:lang w:val="en-US" w:eastAsia="zh-CN"/>
        </w:rPr>
        <w:t>按手印</w:t>
      </w:r>
      <w:r>
        <w:rPr>
          <w:rFonts w:hint="eastAsia" w:ascii="方正仿宋_GBK" w:hAnsi="方正仿宋_GBK" w:eastAsia="方正仿宋_GBK" w:cs="方正仿宋_GBK"/>
          <w:sz w:val="21"/>
          <w:szCs w:val="21"/>
        </w:rPr>
        <w:t xml:space="preserve">）： </w:t>
      </w:r>
    </w:p>
    <w:p w14:paraId="00B49B44">
      <w:pPr>
        <w:ind w:firstLine="2310" w:firstLineChars="1100"/>
        <w:rPr>
          <w:rFonts w:hint="eastAsia" w:ascii="方正仿宋_GBK" w:hAnsi="方正仿宋_GBK" w:eastAsia="方正仿宋_GBK" w:cs="方正仿宋_GBK"/>
          <w:sz w:val="21"/>
          <w:szCs w:val="21"/>
        </w:rPr>
      </w:pPr>
    </w:p>
    <w:p w14:paraId="750CE3C3">
      <w:pPr>
        <w:jc w:val="right"/>
      </w:pPr>
      <w:r>
        <w:rPr>
          <w:rFonts w:hint="eastAsia" w:ascii="方正仿宋_GBK" w:hAnsi="方正仿宋_GBK" w:eastAsia="方正仿宋_GBK" w:cs="方正仿宋_GBK"/>
          <w:sz w:val="21"/>
          <w:szCs w:val="21"/>
        </w:rPr>
        <w:t>年    月    日</w:t>
      </w:r>
    </w:p>
    <w:p w14:paraId="3334D8D4">
      <w:pPr>
        <w:rPr>
          <w:rFonts w:hint="eastAsia" w:ascii="黑体" w:eastAsia="黑体" w:cs="黑体"/>
          <w:b/>
          <w:bCs/>
          <w:sz w:val="44"/>
          <w:szCs w:val="44"/>
        </w:rPr>
      </w:pPr>
      <w:r>
        <w:rPr>
          <w:rFonts w:hint="eastAsia"/>
        </w:rPr>
        <w:t xml:space="preserve"> </w:t>
      </w:r>
    </w:p>
    <w:p w14:paraId="14669556">
      <w:pPr>
        <w:jc w:val="center"/>
        <w:rPr>
          <w:rFonts w:hint="eastAsia" w:ascii="黑体" w:eastAsia="黑体" w:cs="黑体"/>
          <w:b/>
          <w:bCs/>
          <w:sz w:val="44"/>
          <w:szCs w:val="44"/>
        </w:rPr>
      </w:pPr>
    </w:p>
    <w:p w14:paraId="50D119F7">
      <w:pPr>
        <w:jc w:val="center"/>
        <w:rPr>
          <w:rFonts w:hint="eastAsia" w:ascii="黑体" w:eastAsia="黑体" w:cs="黑体"/>
          <w:b/>
          <w:bCs/>
          <w:sz w:val="44"/>
          <w:szCs w:val="44"/>
        </w:rPr>
      </w:pPr>
    </w:p>
    <w:p w14:paraId="1CEE34B1">
      <w:pPr>
        <w:jc w:val="center"/>
        <w:rPr>
          <w:rFonts w:hint="eastAsia" w:ascii="黑体" w:eastAsia="黑体" w:cs="黑体"/>
          <w:b/>
          <w:bCs/>
          <w:sz w:val="44"/>
          <w:szCs w:val="44"/>
        </w:rPr>
      </w:pPr>
    </w:p>
    <w:p w14:paraId="790EFD38">
      <w:pPr>
        <w:jc w:val="both"/>
        <w:rPr>
          <w:rFonts w:hint="eastAsia" w:ascii="黑体" w:eastAsia="黑体" w:cs="黑体"/>
          <w:b/>
          <w:bCs/>
          <w:sz w:val="44"/>
          <w:szCs w:val="44"/>
        </w:rPr>
      </w:pPr>
    </w:p>
    <w:p w14:paraId="18503B75">
      <w:pPr>
        <w:jc w:val="both"/>
        <w:rPr>
          <w:rFonts w:hint="eastAsia" w:ascii="黑体" w:eastAsia="黑体" w:cs="黑体"/>
          <w:b/>
          <w:bCs/>
          <w:sz w:val="44"/>
          <w:szCs w:val="44"/>
        </w:rPr>
      </w:pPr>
    </w:p>
    <w:p w14:paraId="1F54EC72">
      <w:pPr>
        <w:jc w:val="center"/>
        <w:rPr>
          <w:rFonts w:ascii="黑体" w:eastAsia="黑体"/>
          <w:sz w:val="44"/>
          <w:szCs w:val="44"/>
        </w:rPr>
      </w:pPr>
      <w:r>
        <w:rPr>
          <w:rFonts w:hint="eastAsia" w:ascii="黑体" w:eastAsia="黑体" w:cs="黑体"/>
          <w:b/>
          <w:bCs/>
          <w:sz w:val="44"/>
          <w:szCs w:val="44"/>
        </w:rPr>
        <w:t>意向受让登记表</w:t>
      </w:r>
    </w:p>
    <w:p w14:paraId="4026012B">
      <w:pPr>
        <w:jc w:val="center"/>
        <w:rPr>
          <w:rFonts w:ascii="黑体" w:eastAsia="黑体"/>
          <w:b/>
          <w:bCs/>
          <w:sz w:val="44"/>
          <w:szCs w:val="44"/>
        </w:rPr>
      </w:pPr>
      <w:r>
        <w:rPr>
          <w:rFonts w:ascii="楷体" w:hAnsi="楷体" w:eastAsia="楷体" w:cs="楷体"/>
          <w:sz w:val="32"/>
          <w:szCs w:val="32"/>
        </w:rPr>
        <w:t>(</w:t>
      </w:r>
      <w:r>
        <w:rPr>
          <w:rFonts w:hint="eastAsia" w:ascii="楷体" w:hAnsi="楷体" w:eastAsia="楷体" w:cs="楷体"/>
          <w:sz w:val="32"/>
          <w:szCs w:val="32"/>
        </w:rPr>
        <w:t>自然人</w:t>
      </w:r>
      <w:r>
        <w:rPr>
          <w:rFonts w:ascii="楷体" w:hAnsi="楷体" w:eastAsia="楷体" w:cs="楷体"/>
          <w:sz w:val="32"/>
          <w:szCs w:val="32"/>
        </w:rPr>
        <w:t>)</w:t>
      </w:r>
    </w:p>
    <w:p w14:paraId="7946F0DA">
      <w:pPr>
        <w:jc w:val="right"/>
        <w:textAlignment w:val="baseline"/>
        <w:rPr>
          <w:rFonts w:hint="eastAsia" w:ascii="宋体" w:hAnsi="宋体"/>
          <w:sz w:val="24"/>
        </w:rPr>
      </w:pPr>
    </w:p>
    <w:p w14:paraId="4748EE07">
      <w:pPr>
        <w:jc w:val="right"/>
        <w:textAlignment w:val="baseline"/>
        <w:rPr>
          <w:rFonts w:hint="eastAsia" w:ascii="宋体" w:hAnsi="宋体"/>
          <w:b/>
          <w:sz w:val="36"/>
          <w:szCs w:val="36"/>
        </w:rPr>
      </w:pPr>
      <w:r>
        <w:rPr>
          <w:rFonts w:hint="eastAsia" w:ascii="宋体" w:hAnsi="宋体"/>
          <w:sz w:val="24"/>
        </w:rPr>
        <w:t>货币单位：万元人民币</w:t>
      </w:r>
    </w:p>
    <w:tbl>
      <w:tblPr>
        <w:tblStyle w:val="8"/>
        <w:tblpPr w:leftFromText="180" w:rightFromText="180" w:vertAnchor="text" w:horzAnchor="margin" w:tblpXSpec="center" w:tblpY="184"/>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1"/>
        <w:gridCol w:w="1618"/>
        <w:gridCol w:w="2515"/>
        <w:gridCol w:w="1634"/>
        <w:gridCol w:w="2342"/>
      </w:tblGrid>
      <w:tr w14:paraId="349BF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67BE9409">
            <w:pPr>
              <w:jc w:val="center"/>
              <w:rPr>
                <w:rFonts w:ascii="宋体" w:cs="宋体"/>
                <w:b/>
                <w:bCs/>
                <w:sz w:val="24"/>
              </w:rPr>
            </w:pPr>
            <w:r>
              <w:rPr>
                <w:rFonts w:hint="eastAsia" w:ascii="宋体" w:hAnsi="宋体" w:cs="宋体"/>
                <w:b/>
                <w:bCs/>
                <w:spacing w:val="15"/>
                <w:kern w:val="0"/>
                <w:sz w:val="24"/>
              </w:rPr>
              <w:t>申请受</w:t>
            </w:r>
            <w:r>
              <w:rPr>
                <w:rFonts w:hint="eastAsia" w:ascii="宋体" w:hAnsi="宋体" w:cs="宋体"/>
                <w:b/>
                <w:bCs/>
                <w:kern w:val="0"/>
                <w:sz w:val="24"/>
              </w:rPr>
              <w:t>让</w:t>
            </w:r>
          </w:p>
          <w:p w14:paraId="205AC2A6">
            <w:pPr>
              <w:jc w:val="center"/>
              <w:rPr>
                <w:rFonts w:hint="eastAsia" w:ascii="宋体" w:hAnsi="宋体"/>
                <w:b/>
                <w:bCs/>
                <w:sz w:val="24"/>
              </w:rPr>
            </w:pPr>
            <w:r>
              <w:rPr>
                <w:rFonts w:hint="eastAsia" w:ascii="宋体" w:hAnsi="宋体" w:cs="宋体"/>
                <w:b/>
                <w:bCs/>
                <w:spacing w:val="15"/>
                <w:kern w:val="0"/>
                <w:sz w:val="24"/>
              </w:rPr>
              <w:t>标的</w:t>
            </w:r>
          </w:p>
        </w:tc>
        <w:tc>
          <w:tcPr>
            <w:tcW w:w="8109" w:type="dxa"/>
            <w:gridSpan w:val="4"/>
            <w:noWrap w:val="0"/>
            <w:vAlign w:val="center"/>
          </w:tcPr>
          <w:p w14:paraId="0D2FE762">
            <w:pPr>
              <w:jc w:val="center"/>
              <w:rPr>
                <w:rFonts w:ascii="宋体" w:hAnsi="宋体"/>
                <w:sz w:val="24"/>
              </w:rPr>
            </w:pPr>
            <w:r>
              <w:rPr>
                <w:rFonts w:hint="eastAsia" w:ascii="Times New Roman" w:hAnsi="Times New Roman"/>
                <w:sz w:val="24"/>
                <w:lang w:eastAsia="zh-CN"/>
              </w:rPr>
              <w:t>灌南县堆沟化工园区灌河大堤西侧地块国有出让土地使用权转让</w:t>
            </w:r>
          </w:p>
        </w:tc>
      </w:tr>
      <w:tr w14:paraId="55BBF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454DFC0F">
            <w:pPr>
              <w:jc w:val="center"/>
              <w:rPr>
                <w:rFonts w:ascii="宋体" w:cs="宋体"/>
                <w:b/>
                <w:bCs/>
                <w:sz w:val="24"/>
              </w:rPr>
            </w:pPr>
            <w:r>
              <w:rPr>
                <w:rFonts w:hint="eastAsia" w:ascii="宋体" w:hAnsi="宋体" w:cs="宋体"/>
                <w:b/>
                <w:bCs/>
                <w:spacing w:val="15"/>
                <w:kern w:val="0"/>
                <w:sz w:val="24"/>
              </w:rPr>
              <w:t>意向受</w:t>
            </w:r>
            <w:r>
              <w:rPr>
                <w:rFonts w:hint="eastAsia" w:ascii="宋体" w:hAnsi="宋体" w:cs="宋体"/>
                <w:b/>
                <w:bCs/>
                <w:kern w:val="0"/>
                <w:sz w:val="24"/>
              </w:rPr>
              <w:t>让</w:t>
            </w:r>
          </w:p>
          <w:p w14:paraId="7D939C6F">
            <w:pPr>
              <w:jc w:val="center"/>
              <w:rPr>
                <w:rFonts w:hint="eastAsia" w:ascii="宋体" w:hAnsi="宋体"/>
                <w:b/>
                <w:bCs/>
                <w:sz w:val="24"/>
              </w:rPr>
            </w:pPr>
            <w:r>
              <w:rPr>
                <w:rFonts w:hint="eastAsia" w:ascii="宋体" w:hAnsi="宋体" w:cs="宋体"/>
                <w:b/>
                <w:bCs/>
                <w:spacing w:val="75"/>
                <w:kern w:val="0"/>
                <w:sz w:val="24"/>
              </w:rPr>
              <w:t>方姓</w:t>
            </w:r>
            <w:r>
              <w:rPr>
                <w:rFonts w:hint="eastAsia" w:ascii="宋体" w:hAnsi="宋体" w:cs="宋体"/>
                <w:b/>
                <w:bCs/>
                <w:spacing w:val="15"/>
                <w:kern w:val="0"/>
                <w:sz w:val="24"/>
              </w:rPr>
              <w:t>名</w:t>
            </w:r>
          </w:p>
        </w:tc>
        <w:tc>
          <w:tcPr>
            <w:tcW w:w="8109" w:type="dxa"/>
            <w:gridSpan w:val="4"/>
            <w:noWrap w:val="0"/>
            <w:vAlign w:val="center"/>
          </w:tcPr>
          <w:p w14:paraId="4DFB8DF6">
            <w:pPr>
              <w:jc w:val="center"/>
              <w:rPr>
                <w:rFonts w:ascii="宋体" w:hAnsi="宋体"/>
                <w:sz w:val="24"/>
              </w:rPr>
            </w:pPr>
          </w:p>
        </w:tc>
      </w:tr>
      <w:tr w14:paraId="26742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69F972CE">
            <w:pPr>
              <w:jc w:val="center"/>
              <w:rPr>
                <w:rFonts w:hint="eastAsia" w:ascii="宋体" w:hAnsi="宋体"/>
                <w:sz w:val="24"/>
              </w:rPr>
            </w:pPr>
            <w:r>
              <w:rPr>
                <w:rFonts w:hint="eastAsia" w:ascii="宋体" w:hAnsi="宋体"/>
                <w:b/>
                <w:sz w:val="24"/>
              </w:rPr>
              <w:t>基本信息</w:t>
            </w:r>
          </w:p>
        </w:tc>
        <w:tc>
          <w:tcPr>
            <w:tcW w:w="1618" w:type="dxa"/>
            <w:noWrap w:val="0"/>
            <w:vAlign w:val="center"/>
          </w:tcPr>
          <w:p w14:paraId="274CFFEB">
            <w:pPr>
              <w:jc w:val="center"/>
              <w:rPr>
                <w:rFonts w:ascii="宋体" w:hAnsi="宋体"/>
                <w:sz w:val="24"/>
              </w:rPr>
            </w:pPr>
            <w:r>
              <w:rPr>
                <w:rFonts w:hint="eastAsia" w:ascii="宋体" w:hAnsi="宋体"/>
                <w:sz w:val="24"/>
              </w:rPr>
              <w:t>证件类型</w:t>
            </w:r>
          </w:p>
        </w:tc>
        <w:tc>
          <w:tcPr>
            <w:tcW w:w="2515" w:type="dxa"/>
            <w:noWrap w:val="0"/>
            <w:vAlign w:val="center"/>
          </w:tcPr>
          <w:p w14:paraId="6FDBBE17">
            <w:pPr>
              <w:jc w:val="center"/>
              <w:rPr>
                <w:rFonts w:ascii="宋体" w:hAnsi="宋体"/>
                <w:sz w:val="24"/>
              </w:rPr>
            </w:pPr>
            <w:r>
              <w:rPr>
                <w:rFonts w:ascii="宋体" w:hAnsi="宋体"/>
                <w:sz w:val="24"/>
              </w:rPr>
              <w:t>身份证</w:t>
            </w:r>
          </w:p>
        </w:tc>
        <w:tc>
          <w:tcPr>
            <w:tcW w:w="1634" w:type="dxa"/>
            <w:noWrap w:val="0"/>
            <w:vAlign w:val="center"/>
          </w:tcPr>
          <w:p w14:paraId="5EDC9171">
            <w:pPr>
              <w:jc w:val="center"/>
              <w:rPr>
                <w:rFonts w:hint="eastAsia" w:ascii="宋体" w:hAnsi="宋体"/>
                <w:sz w:val="24"/>
              </w:rPr>
            </w:pPr>
            <w:r>
              <w:rPr>
                <w:rFonts w:hint="eastAsia" w:ascii="宋体" w:hAnsi="宋体"/>
                <w:sz w:val="24"/>
              </w:rPr>
              <w:t>证件号码</w:t>
            </w:r>
          </w:p>
        </w:tc>
        <w:tc>
          <w:tcPr>
            <w:tcW w:w="2342" w:type="dxa"/>
            <w:noWrap w:val="0"/>
            <w:vAlign w:val="center"/>
          </w:tcPr>
          <w:p w14:paraId="7D7EC9C5">
            <w:pPr>
              <w:rPr>
                <w:rFonts w:ascii="宋体" w:hAnsi="宋体"/>
                <w:sz w:val="24"/>
              </w:rPr>
            </w:pPr>
          </w:p>
        </w:tc>
      </w:tr>
      <w:tr w14:paraId="10AA5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restart"/>
            <w:noWrap w:val="0"/>
            <w:vAlign w:val="center"/>
          </w:tcPr>
          <w:p w14:paraId="2B7F31CA">
            <w:pPr>
              <w:jc w:val="center"/>
              <w:rPr>
                <w:rFonts w:hint="eastAsia" w:ascii="宋体" w:hAnsi="宋体"/>
                <w:b/>
                <w:sz w:val="24"/>
              </w:rPr>
            </w:pPr>
            <w:r>
              <w:rPr>
                <w:rFonts w:hint="eastAsia" w:ascii="宋体" w:hAnsi="宋体"/>
                <w:b/>
                <w:sz w:val="24"/>
              </w:rPr>
              <w:t>联系方式</w:t>
            </w:r>
          </w:p>
        </w:tc>
        <w:tc>
          <w:tcPr>
            <w:tcW w:w="1618" w:type="dxa"/>
            <w:noWrap w:val="0"/>
            <w:vAlign w:val="center"/>
          </w:tcPr>
          <w:p w14:paraId="63C696FF">
            <w:pPr>
              <w:jc w:val="center"/>
              <w:rPr>
                <w:rFonts w:hint="eastAsia" w:ascii="宋体" w:hAnsi="宋体"/>
                <w:sz w:val="24"/>
              </w:rPr>
            </w:pPr>
            <w:r>
              <w:rPr>
                <w:rFonts w:hint="eastAsia" w:ascii="宋体" w:hAnsi="宋体"/>
                <w:sz w:val="24"/>
              </w:rPr>
              <w:t>联</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人</w:t>
            </w:r>
          </w:p>
        </w:tc>
        <w:tc>
          <w:tcPr>
            <w:tcW w:w="2515" w:type="dxa"/>
            <w:noWrap w:val="0"/>
            <w:vAlign w:val="center"/>
          </w:tcPr>
          <w:p w14:paraId="25D92C56">
            <w:pPr>
              <w:jc w:val="center"/>
              <w:rPr>
                <w:rFonts w:hint="eastAsia" w:ascii="宋体" w:hAnsi="宋体"/>
                <w:sz w:val="24"/>
              </w:rPr>
            </w:pPr>
          </w:p>
        </w:tc>
        <w:tc>
          <w:tcPr>
            <w:tcW w:w="1634" w:type="dxa"/>
            <w:noWrap w:val="0"/>
            <w:vAlign w:val="center"/>
          </w:tcPr>
          <w:p w14:paraId="63F6BDB6">
            <w:pPr>
              <w:jc w:val="center"/>
              <w:rPr>
                <w:rFonts w:hint="eastAsia" w:ascii="宋体" w:hAnsi="宋体"/>
                <w:sz w:val="24"/>
              </w:rPr>
            </w:pPr>
            <w:r>
              <w:rPr>
                <w:rFonts w:hint="eastAsia" w:ascii="宋体" w:hAnsi="宋体"/>
                <w:sz w:val="24"/>
              </w:rPr>
              <w:t>联系电话</w:t>
            </w:r>
          </w:p>
        </w:tc>
        <w:tc>
          <w:tcPr>
            <w:tcW w:w="2342" w:type="dxa"/>
            <w:noWrap w:val="0"/>
            <w:vAlign w:val="center"/>
          </w:tcPr>
          <w:p w14:paraId="640E9296">
            <w:pPr>
              <w:jc w:val="center"/>
              <w:rPr>
                <w:rFonts w:hint="eastAsia" w:ascii="宋体" w:hAnsi="宋体"/>
                <w:sz w:val="24"/>
              </w:rPr>
            </w:pPr>
          </w:p>
        </w:tc>
      </w:tr>
      <w:tr w14:paraId="5EF28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6FDEADD4">
            <w:pPr>
              <w:rPr>
                <w:rFonts w:ascii="宋体" w:hAnsi="宋体"/>
                <w:sz w:val="24"/>
              </w:rPr>
            </w:pPr>
          </w:p>
        </w:tc>
        <w:tc>
          <w:tcPr>
            <w:tcW w:w="1618" w:type="dxa"/>
            <w:noWrap w:val="0"/>
            <w:vAlign w:val="center"/>
          </w:tcPr>
          <w:p w14:paraId="167A1B53">
            <w:pPr>
              <w:jc w:val="center"/>
              <w:rPr>
                <w:rFonts w:ascii="宋体" w:hAnsi="宋体"/>
                <w:sz w:val="24"/>
              </w:rPr>
            </w:pPr>
            <w:r>
              <w:rPr>
                <w:rFonts w:hint="eastAsia" w:ascii="宋体" w:hAnsi="宋体"/>
                <w:sz w:val="24"/>
              </w:rPr>
              <w:t xml:space="preserve">传  </w:t>
            </w:r>
            <w:r>
              <w:rPr>
                <w:rFonts w:hint="eastAsia" w:ascii="宋体" w:hAnsi="宋体"/>
                <w:sz w:val="24"/>
                <w:lang w:val="en-US" w:eastAsia="zh-CN"/>
              </w:rPr>
              <w:t xml:space="preserve"> </w:t>
            </w:r>
            <w:r>
              <w:rPr>
                <w:rFonts w:hint="eastAsia" w:ascii="宋体" w:hAnsi="宋体"/>
                <w:sz w:val="24"/>
              </w:rPr>
              <w:t xml:space="preserve"> 真</w:t>
            </w:r>
          </w:p>
        </w:tc>
        <w:tc>
          <w:tcPr>
            <w:tcW w:w="2515" w:type="dxa"/>
            <w:noWrap w:val="0"/>
            <w:vAlign w:val="center"/>
          </w:tcPr>
          <w:p w14:paraId="2B0372C3">
            <w:pPr>
              <w:jc w:val="center"/>
              <w:rPr>
                <w:rFonts w:hint="eastAsia" w:ascii="宋体" w:hAnsi="宋体"/>
                <w:sz w:val="24"/>
              </w:rPr>
            </w:pPr>
          </w:p>
        </w:tc>
        <w:tc>
          <w:tcPr>
            <w:tcW w:w="1634" w:type="dxa"/>
            <w:noWrap w:val="0"/>
            <w:vAlign w:val="center"/>
          </w:tcPr>
          <w:p w14:paraId="5CDD9EE4">
            <w:pPr>
              <w:jc w:val="center"/>
              <w:rPr>
                <w:rFonts w:hint="eastAsia" w:ascii="宋体" w:hAnsi="宋体"/>
                <w:sz w:val="24"/>
              </w:rPr>
            </w:pPr>
            <w:r>
              <w:rPr>
                <w:rFonts w:hint="eastAsia" w:ascii="宋体" w:hAnsi="宋体"/>
                <w:sz w:val="24"/>
              </w:rPr>
              <w:t>电子邮件</w:t>
            </w:r>
          </w:p>
        </w:tc>
        <w:tc>
          <w:tcPr>
            <w:tcW w:w="2342" w:type="dxa"/>
            <w:noWrap w:val="0"/>
            <w:vAlign w:val="center"/>
          </w:tcPr>
          <w:p w14:paraId="26C50687">
            <w:pPr>
              <w:jc w:val="center"/>
              <w:rPr>
                <w:rFonts w:hint="eastAsia" w:ascii="宋体" w:hAnsi="宋体"/>
                <w:b/>
                <w:bCs/>
                <w:sz w:val="24"/>
              </w:rPr>
            </w:pPr>
          </w:p>
        </w:tc>
      </w:tr>
      <w:tr w14:paraId="018BF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vMerge w:val="continue"/>
            <w:noWrap w:val="0"/>
            <w:vAlign w:val="center"/>
          </w:tcPr>
          <w:p w14:paraId="0797ADBF">
            <w:pPr>
              <w:rPr>
                <w:rFonts w:ascii="宋体" w:hAnsi="宋体"/>
                <w:sz w:val="24"/>
              </w:rPr>
            </w:pPr>
          </w:p>
        </w:tc>
        <w:tc>
          <w:tcPr>
            <w:tcW w:w="1618" w:type="dxa"/>
            <w:noWrap w:val="0"/>
            <w:vAlign w:val="center"/>
          </w:tcPr>
          <w:p w14:paraId="7873111C">
            <w:pPr>
              <w:jc w:val="center"/>
              <w:rPr>
                <w:rFonts w:ascii="宋体" w:hAnsi="宋体"/>
                <w:sz w:val="24"/>
              </w:rPr>
            </w:pPr>
            <w:r>
              <w:rPr>
                <w:rFonts w:hint="eastAsia" w:ascii="宋体" w:hAnsi="宋体"/>
                <w:sz w:val="24"/>
              </w:rPr>
              <w:t>通讯地址</w:t>
            </w:r>
          </w:p>
        </w:tc>
        <w:tc>
          <w:tcPr>
            <w:tcW w:w="2515" w:type="dxa"/>
            <w:noWrap w:val="0"/>
            <w:vAlign w:val="center"/>
          </w:tcPr>
          <w:p w14:paraId="29DED811">
            <w:pPr>
              <w:jc w:val="center"/>
              <w:rPr>
                <w:rFonts w:hint="eastAsia" w:ascii="宋体" w:hAnsi="宋体"/>
                <w:sz w:val="24"/>
              </w:rPr>
            </w:pPr>
          </w:p>
        </w:tc>
        <w:tc>
          <w:tcPr>
            <w:tcW w:w="1634" w:type="dxa"/>
            <w:noWrap w:val="0"/>
            <w:vAlign w:val="center"/>
          </w:tcPr>
          <w:p w14:paraId="6EBCDB7D">
            <w:pPr>
              <w:jc w:val="center"/>
              <w:rPr>
                <w:rFonts w:hint="eastAsia" w:ascii="宋体" w:hAnsi="宋体"/>
                <w:sz w:val="24"/>
              </w:rPr>
            </w:pPr>
            <w:r>
              <w:rPr>
                <w:rFonts w:hint="eastAsia" w:ascii="宋体" w:hAnsi="宋体"/>
                <w:sz w:val="24"/>
              </w:rPr>
              <w:t>邮</w:t>
            </w:r>
            <w:r>
              <w:rPr>
                <w:rFonts w:hint="eastAsia" w:ascii="宋体" w:hAnsi="宋体"/>
                <w:sz w:val="24"/>
                <w:lang w:val="en-US" w:eastAsia="zh-CN"/>
              </w:rPr>
              <w:t xml:space="preserve">    </w:t>
            </w:r>
            <w:r>
              <w:rPr>
                <w:rFonts w:hint="eastAsia" w:ascii="宋体" w:hAnsi="宋体"/>
                <w:sz w:val="24"/>
              </w:rPr>
              <w:t>编</w:t>
            </w:r>
          </w:p>
        </w:tc>
        <w:tc>
          <w:tcPr>
            <w:tcW w:w="2342" w:type="dxa"/>
            <w:noWrap w:val="0"/>
            <w:vAlign w:val="center"/>
          </w:tcPr>
          <w:p w14:paraId="74A326FB">
            <w:pPr>
              <w:jc w:val="center"/>
              <w:rPr>
                <w:rFonts w:hint="eastAsia" w:ascii="宋体" w:hAnsi="宋体"/>
                <w:b/>
                <w:bCs/>
                <w:sz w:val="24"/>
              </w:rPr>
            </w:pPr>
          </w:p>
        </w:tc>
      </w:tr>
      <w:tr w14:paraId="0C53B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31" w:type="dxa"/>
            <w:noWrap w:val="0"/>
            <w:vAlign w:val="center"/>
          </w:tcPr>
          <w:p w14:paraId="30377BE0">
            <w:pPr>
              <w:jc w:val="center"/>
              <w:rPr>
                <w:rFonts w:hint="eastAsia" w:ascii="宋体" w:hAnsi="宋体"/>
                <w:b/>
                <w:bCs/>
                <w:sz w:val="24"/>
              </w:rPr>
            </w:pPr>
            <w:r>
              <w:rPr>
                <w:rFonts w:ascii="Times New Roman" w:hAnsi="Times New Roman"/>
                <w:b/>
                <w:bCs/>
                <w:sz w:val="24"/>
              </w:rPr>
              <w:t>受让</w:t>
            </w:r>
            <w:r>
              <w:rPr>
                <w:rFonts w:hint="eastAsia" w:ascii="Times New Roman" w:hAnsi="Times New Roman"/>
                <w:b/>
                <w:bCs/>
                <w:sz w:val="24"/>
              </w:rPr>
              <w:t>价格</w:t>
            </w:r>
          </w:p>
        </w:tc>
        <w:tc>
          <w:tcPr>
            <w:tcW w:w="8109" w:type="dxa"/>
            <w:gridSpan w:val="4"/>
            <w:noWrap w:val="0"/>
            <w:vAlign w:val="center"/>
          </w:tcPr>
          <w:p w14:paraId="51FF2EE3">
            <w:pPr>
              <w:jc w:val="left"/>
              <w:rPr>
                <w:rFonts w:ascii="宋体" w:hAnsi="宋体"/>
                <w:sz w:val="24"/>
              </w:rPr>
            </w:pPr>
            <w:r>
              <w:rPr>
                <w:rFonts w:ascii="Times New Roman" w:hAnsi="Times New Roman"/>
                <w:sz w:val="24"/>
              </w:rPr>
              <w:t>人民币</w:t>
            </w:r>
            <w:r>
              <w:rPr>
                <w:rFonts w:hint="eastAsia" w:ascii="Times New Roman" w:hAnsi="Times New Roman"/>
                <w:sz w:val="24"/>
                <w:u w:val="single"/>
                <w:lang w:val="en-US" w:eastAsia="zh-CN"/>
              </w:rPr>
              <w:t xml:space="preserve">       </w:t>
            </w:r>
            <w:r>
              <w:rPr>
                <w:rFonts w:hint="eastAsia" w:ascii="宋体" w:hAnsi="宋体"/>
                <w:sz w:val="24"/>
                <w:lang w:val="en-US" w:eastAsia="zh-CN"/>
              </w:rPr>
              <w:t>万</w:t>
            </w:r>
            <w:r>
              <w:rPr>
                <w:rFonts w:hint="eastAsia" w:ascii="宋体" w:hAnsi="宋体"/>
                <w:sz w:val="24"/>
              </w:rPr>
              <w:t>元</w:t>
            </w:r>
          </w:p>
        </w:tc>
      </w:tr>
      <w:tr w14:paraId="1DFBD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1431" w:type="dxa"/>
            <w:noWrap w:val="0"/>
            <w:vAlign w:val="center"/>
          </w:tcPr>
          <w:p w14:paraId="08C7433A">
            <w:pPr>
              <w:jc w:val="center"/>
              <w:rPr>
                <w:rFonts w:hint="eastAsia" w:ascii="宋体" w:hAnsi="宋体"/>
                <w:b/>
                <w:bCs/>
                <w:sz w:val="24"/>
              </w:rPr>
            </w:pPr>
            <w:r>
              <w:rPr>
                <w:rFonts w:hint="eastAsia" w:ascii="宋体" w:hAnsi="宋体"/>
                <w:b/>
                <w:bCs/>
                <w:sz w:val="24"/>
              </w:rPr>
              <w:t>备   注</w:t>
            </w:r>
          </w:p>
        </w:tc>
        <w:tc>
          <w:tcPr>
            <w:tcW w:w="8109" w:type="dxa"/>
            <w:gridSpan w:val="4"/>
            <w:noWrap w:val="0"/>
            <w:vAlign w:val="center"/>
          </w:tcPr>
          <w:p w14:paraId="58A4DC9A">
            <w:pPr>
              <w:rPr>
                <w:rFonts w:ascii="宋体" w:hAnsi="宋体"/>
                <w:sz w:val="24"/>
              </w:rPr>
            </w:pPr>
          </w:p>
        </w:tc>
      </w:tr>
    </w:tbl>
    <w:p w14:paraId="5581E47E">
      <w:pPr>
        <w:rPr>
          <w:rFonts w:hint="eastAsia"/>
        </w:rPr>
      </w:pPr>
    </w:p>
    <w:p w14:paraId="43CAC84A">
      <w:pPr>
        <w:rPr>
          <w:rFonts w:hint="eastAsia"/>
        </w:rPr>
      </w:pPr>
    </w:p>
    <w:p w14:paraId="665C5709">
      <w:pPr>
        <w:ind w:firstLine="5600" w:firstLineChars="2000"/>
        <w:rPr>
          <w:rFonts w:hint="eastAsia"/>
          <w:sz w:val="28"/>
          <w:szCs w:val="28"/>
        </w:rPr>
      </w:pPr>
      <w:r>
        <w:rPr>
          <w:rFonts w:hint="eastAsia" w:cs="宋体"/>
          <w:sz w:val="28"/>
          <w:szCs w:val="28"/>
        </w:rPr>
        <w:t>意向受让方（</w:t>
      </w:r>
      <w:r>
        <w:rPr>
          <w:rFonts w:ascii="Times New Roman" w:hAnsi="Times New Roman"/>
          <w:sz w:val="28"/>
          <w:szCs w:val="28"/>
        </w:rPr>
        <w:t>签</w:t>
      </w:r>
      <w:r>
        <w:rPr>
          <w:rFonts w:hint="eastAsia" w:ascii="Times New Roman" w:hAnsi="Times New Roman"/>
          <w:sz w:val="28"/>
          <w:szCs w:val="28"/>
          <w:lang w:eastAsia="zh-CN"/>
        </w:rPr>
        <w:t>字</w:t>
      </w:r>
      <w:r>
        <w:rPr>
          <w:rFonts w:hint="eastAsia" w:ascii="Times New Roman" w:hAnsi="Times New Roman"/>
          <w:sz w:val="28"/>
          <w:szCs w:val="28"/>
          <w:lang w:val="en-US" w:eastAsia="zh-CN"/>
        </w:rPr>
        <w:t>按手印</w:t>
      </w:r>
      <w:r>
        <w:rPr>
          <w:rFonts w:hint="eastAsia" w:cs="宋体"/>
          <w:sz w:val="28"/>
          <w:szCs w:val="28"/>
        </w:rPr>
        <w:t>）：</w:t>
      </w:r>
      <w:r>
        <w:rPr>
          <w:sz w:val="28"/>
          <w:szCs w:val="28"/>
        </w:rPr>
        <w:t xml:space="preserve"> </w:t>
      </w:r>
    </w:p>
    <w:p w14:paraId="28704604">
      <w:pPr>
        <w:ind w:firstLine="3080" w:firstLineChars="1100"/>
        <w:rPr>
          <w:sz w:val="28"/>
          <w:szCs w:val="28"/>
        </w:rPr>
      </w:pPr>
    </w:p>
    <w:p w14:paraId="12886211">
      <w:pPr>
        <w:jc w:val="right"/>
      </w:pPr>
      <w:r>
        <w:rPr>
          <w:rFonts w:hint="eastAsia" w:cs="宋体"/>
          <w:sz w:val="28"/>
          <w:szCs w:val="28"/>
        </w:rPr>
        <w:t>年</w:t>
      </w:r>
      <w:r>
        <w:rPr>
          <w:sz w:val="28"/>
          <w:szCs w:val="28"/>
        </w:rPr>
        <w:t xml:space="preserve">    </w:t>
      </w:r>
      <w:r>
        <w:rPr>
          <w:rFonts w:hint="eastAsia" w:cs="宋体"/>
          <w:sz w:val="28"/>
          <w:szCs w:val="28"/>
        </w:rPr>
        <w:t>月</w:t>
      </w:r>
      <w:r>
        <w:rPr>
          <w:sz w:val="28"/>
          <w:szCs w:val="28"/>
        </w:rPr>
        <w:t xml:space="preserve">    </w:t>
      </w:r>
      <w:r>
        <w:rPr>
          <w:rFonts w:hint="eastAsia" w:cs="宋体"/>
          <w:sz w:val="28"/>
          <w:szCs w:val="28"/>
        </w:rPr>
        <w:t>日</w:t>
      </w:r>
    </w:p>
    <w:p w14:paraId="50876E30"/>
    <w:p w14:paraId="2529A8D7">
      <w:pPr>
        <w:jc w:val="center"/>
        <w:rPr>
          <w:rFonts w:hint="eastAsia" w:ascii="Times New Roman" w:hAnsi="Times New Roman" w:eastAsia="黑体" w:cs="Times New Roman"/>
          <w:b/>
          <w:bCs/>
          <w:sz w:val="44"/>
          <w:szCs w:val="44"/>
          <w:lang w:eastAsia="zh-CN"/>
        </w:rPr>
      </w:pPr>
    </w:p>
    <w:p w14:paraId="0CCA1845">
      <w:pPr>
        <w:jc w:val="center"/>
        <w:rPr>
          <w:rFonts w:hint="eastAsia" w:ascii="Times New Roman" w:hAnsi="Times New Roman" w:eastAsia="黑体" w:cs="Times New Roman"/>
          <w:b/>
          <w:bCs/>
          <w:sz w:val="44"/>
          <w:szCs w:val="44"/>
          <w:lang w:eastAsia="zh-CN"/>
        </w:rPr>
      </w:pPr>
    </w:p>
    <w:p w14:paraId="3EF7E5C5">
      <w:pPr>
        <w:jc w:val="center"/>
        <w:rPr>
          <w:rFonts w:hint="eastAsia" w:ascii="Times New Roman" w:hAnsi="Times New Roman" w:eastAsia="黑体" w:cs="Times New Roman"/>
          <w:b/>
          <w:bCs/>
          <w:sz w:val="44"/>
          <w:szCs w:val="44"/>
          <w:lang w:eastAsia="zh-CN"/>
        </w:rPr>
      </w:pPr>
    </w:p>
    <w:p w14:paraId="14A3F580">
      <w:pPr>
        <w:jc w:val="center"/>
        <w:rPr>
          <w:rFonts w:hint="eastAsia" w:ascii="Times New Roman" w:hAnsi="Times New Roman" w:eastAsia="黑体" w:cs="Times New Roman"/>
          <w:b/>
          <w:bCs/>
          <w:sz w:val="44"/>
          <w:szCs w:val="44"/>
          <w:lang w:eastAsia="zh-CN"/>
        </w:rPr>
      </w:pPr>
      <w:bookmarkStart w:id="0" w:name="_GoBack"/>
      <w:bookmarkEnd w:id="0"/>
    </w:p>
    <w:p w14:paraId="05FBDE05">
      <w:pPr>
        <w:jc w:val="center"/>
        <w:rPr>
          <w:rFonts w:hint="eastAsia" w:ascii="Times New Roman" w:hAnsi="Times New Roman" w:eastAsia="黑体" w:cs="Times New Roman"/>
          <w:b/>
          <w:bCs/>
          <w:sz w:val="44"/>
          <w:szCs w:val="44"/>
          <w:lang w:eastAsia="zh-CN"/>
        </w:rPr>
      </w:pPr>
    </w:p>
    <w:p w14:paraId="6874A24D">
      <w:pPr>
        <w:jc w:val="center"/>
        <w:rPr>
          <w:rFonts w:hint="eastAsia" w:ascii="Times New Roman" w:hAnsi="Times New Roman" w:eastAsia="黑体" w:cs="Times New Roman"/>
          <w:b/>
          <w:bCs/>
          <w:sz w:val="44"/>
          <w:szCs w:val="44"/>
          <w:lang w:eastAsia="zh-CN"/>
        </w:rPr>
      </w:pPr>
      <w:r>
        <w:rPr>
          <w:rFonts w:hint="eastAsia" w:ascii="Times New Roman" w:hAnsi="Times New Roman" w:eastAsia="黑体" w:cs="Times New Roman"/>
          <w:b/>
          <w:bCs/>
          <w:sz w:val="44"/>
          <w:szCs w:val="44"/>
          <w:lang w:eastAsia="zh-CN"/>
        </w:rPr>
        <w:t>承诺</w:t>
      </w:r>
      <w:r>
        <w:rPr>
          <w:rFonts w:hint="eastAsia" w:ascii="Times New Roman" w:hAnsi="Times New Roman" w:eastAsia="黑体" w:cs="Times New Roman"/>
          <w:b/>
          <w:bCs/>
          <w:sz w:val="44"/>
          <w:szCs w:val="44"/>
          <w:lang w:val="en-US" w:eastAsia="zh-CN"/>
        </w:rPr>
        <w:t>书</w:t>
      </w:r>
    </w:p>
    <w:p w14:paraId="1A59B363">
      <w:pPr>
        <w:jc w:val="both"/>
        <w:rPr>
          <w:rFonts w:hint="eastAsia" w:ascii="Times New Roman" w:hAnsi="Times New Roman" w:cs="Times New Roman"/>
          <w:b/>
          <w:bCs/>
          <w:sz w:val="24"/>
          <w:lang w:eastAsia="zh-CN"/>
        </w:rPr>
      </w:pPr>
    </w:p>
    <w:p w14:paraId="7B51D684">
      <w:pPr>
        <w:jc w:val="both"/>
        <w:rPr>
          <w:rFonts w:hint="eastAsia" w:ascii="Times New Roman" w:hAnsi="Times New Roman" w:cs="Times New Roman"/>
          <w:b/>
          <w:bCs/>
          <w:sz w:val="24"/>
          <w:lang w:val="en-US" w:eastAsia="zh-CN"/>
        </w:rPr>
      </w:pPr>
      <w:r>
        <w:rPr>
          <w:rFonts w:hint="eastAsia" w:ascii="Times New Roman" w:hAnsi="Times New Roman" w:cs="Times New Roman"/>
          <w:b/>
          <w:bCs/>
          <w:sz w:val="24"/>
          <w:lang w:eastAsia="zh-CN"/>
        </w:rPr>
        <w:t>致连云港市产权交易所有限公司、</w:t>
      </w:r>
      <w:r>
        <w:rPr>
          <w:rFonts w:hint="eastAsia" w:ascii="Times New Roman" w:hAnsi="Times New Roman" w:cs="Times New Roman"/>
          <w:b/>
          <w:bCs/>
          <w:sz w:val="24"/>
          <w:lang w:val="en-US" w:eastAsia="zh-CN"/>
        </w:rPr>
        <w:t>江苏连云港化工产业园投资发展集团有限公司:</w:t>
      </w:r>
    </w:p>
    <w:p w14:paraId="2D74113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我公司就报名受让灌南县堆沟化工园区灌河大堤西侧地块国有出让土地使用权转让项目做出以下承诺：</w:t>
      </w:r>
    </w:p>
    <w:p w14:paraId="0C6A116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我方已自行对照并充分了解国家及地方关于购地资格的规定和要求，对自身的资格条件进行核查，并在自行咨询专业人士、相关方和监管机构的基础上自行判断是否符合作为本转让项目受让方的资格，决定是否参与受让转让标的，并自行承担由此产生的全部后果，包括费用、风险和损失等。</w:t>
      </w:r>
    </w:p>
    <w:p w14:paraId="13BEF86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2、本标的资产以现状交接，我方同意按照标的物现状接收标的。                                                                                                                                                                                         </w:t>
      </w:r>
    </w:p>
    <w:p w14:paraId="3F389E9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3、受让方即为不动产权证的过户人。</w:t>
      </w:r>
    </w:p>
    <w:p w14:paraId="51B893D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4、我方承诺已对本标的进行过实地查看，并核实不动产权证相关内容，确认没有异议。</w:t>
      </w:r>
    </w:p>
    <w:p w14:paraId="192B7EA5">
      <w:pPr>
        <w:widowControl/>
        <w:spacing w:line="460" w:lineRule="exact"/>
        <w:ind w:firstLine="1659" w:firstLineChars="553"/>
        <w:rPr>
          <w:rFonts w:ascii="Times New Roman" w:hAnsi="Times New Roman" w:cs="Times New Roman"/>
          <w:color w:val="000000"/>
          <w:kern w:val="0"/>
          <w:sz w:val="30"/>
          <w:szCs w:val="30"/>
        </w:rPr>
      </w:pPr>
    </w:p>
    <w:p w14:paraId="1271F768">
      <w:pPr>
        <w:widowControl/>
        <w:spacing w:line="460" w:lineRule="exact"/>
        <w:ind w:firstLine="1659" w:firstLineChars="553"/>
        <w:rPr>
          <w:rFonts w:ascii="Times New Roman" w:hAnsi="Times New Roman" w:cs="Times New Roman"/>
          <w:color w:val="000000"/>
          <w:kern w:val="0"/>
          <w:sz w:val="30"/>
          <w:szCs w:val="30"/>
        </w:rPr>
      </w:pPr>
    </w:p>
    <w:p w14:paraId="4DA83A9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法定代表人（或委托代理人）：（签字）</w:t>
      </w:r>
    </w:p>
    <w:p w14:paraId="5170D59B">
      <w:pPr>
        <w:keepNext w:val="0"/>
        <w:keepLines w:val="0"/>
        <w:pageBreakBefore w:val="0"/>
        <w:widowControl w:val="0"/>
        <w:kinsoku/>
        <w:wordWrap/>
        <w:overflowPunct/>
        <w:topLinePunct w:val="0"/>
        <w:autoSpaceDE/>
        <w:autoSpaceDN/>
        <w:bidi w:val="0"/>
        <w:adjustRightInd/>
        <w:snapToGrid/>
        <w:spacing w:line="520" w:lineRule="exact"/>
        <w:ind w:firstLine="2880" w:firstLineChars="120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承诺人：（签章）</w:t>
      </w:r>
    </w:p>
    <w:p w14:paraId="238F7C2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年   月   日</w:t>
      </w:r>
    </w:p>
    <w:p w14:paraId="41110F5E">
      <w:pPr>
        <w:jc w:val="both"/>
        <w:rPr>
          <w:rFonts w:ascii="Times New Roman" w:hAnsi="Times New Roman"/>
          <w:sz w:val="28"/>
          <w:szCs w:val="28"/>
        </w:rPr>
      </w:pPr>
    </w:p>
    <w:p w14:paraId="1530C3CF">
      <w:pPr>
        <w:spacing w:line="360" w:lineRule="auto"/>
        <w:jc w:val="left"/>
        <w:rPr>
          <w:rFonts w:asciiTheme="minorEastAsia" w:hAnsiTheme="minorEastAsia" w:eastAsiaTheme="minorEastAsia"/>
          <w:b/>
          <w:bCs/>
          <w:color w:val="000000"/>
          <w:szCs w:val="28"/>
          <w:shd w:val="clear" w:color="auto" w:fill="FFFFFF"/>
        </w:rPr>
      </w:pPr>
    </w:p>
    <w:sectPr>
      <w:headerReference r:id="rId3" w:type="default"/>
      <w:footerReference r:id="rId4" w:type="default"/>
      <w:pgSz w:w="11906" w:h="16838"/>
      <w:pgMar w:top="850" w:right="1134" w:bottom="850" w:left="1134" w:header="851" w:footer="850" w:gutter="0"/>
      <w:cols w:space="0" w:num="1"/>
      <w:rtlGutter w:val="0"/>
      <w:docGrid w:type="line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5F02">
    <w:pPr>
      <w:pStyle w:val="5"/>
      <w:jc w:val="cente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4CB6">
    <w:pPr>
      <w:pStyle w:val="6"/>
      <w:jc w:val="both"/>
      <w:rPr>
        <w:sz w:val="24"/>
        <w:szCs w:val="24"/>
      </w:rPr>
    </w:pPr>
    <w:r>
      <w:rPr>
        <w:rFonts w:hint="eastAsia" w:ascii="仿宋_GB2312" w:hAnsi="宋体"/>
        <w:sz w:val="24"/>
        <w:szCs w:val="24"/>
      </w:rPr>
      <w:drawing>
        <wp:inline distT="0" distB="0" distL="0" distR="0">
          <wp:extent cx="895350" cy="152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895350" cy="152400"/>
                  </a:xfrm>
                  <a:prstGeom prst="rect">
                    <a:avLst/>
                  </a:prstGeom>
                  <a:noFill/>
                  <a:ln w="9525">
                    <a:noFill/>
                    <a:miter lim="800000"/>
                    <a:headEnd/>
                    <a:tailEnd/>
                  </a:ln>
                </pic:spPr>
              </pic:pic>
            </a:graphicData>
          </a:graphic>
        </wp:inline>
      </w:drawing>
    </w:r>
    <w:r>
      <w:rPr>
        <w:rFonts w:hint="eastAsia" w:ascii="仿宋_GB2312" w:hAnsi="宋体"/>
        <w:sz w:val="24"/>
        <w:szCs w:val="24"/>
      </w:rPr>
      <w:t xml:space="preserve">   </w:t>
    </w:r>
    <w:r>
      <w:rPr>
        <w:rFonts w:hint="eastAsia" w:ascii="隶书" w:eastAsia="隶书"/>
        <w:sz w:val="24"/>
      </w:rPr>
      <w:t xml:space="preserve">连云港市产权交易所有限公司 </w:t>
    </w:r>
    <w:r>
      <w:rPr>
        <w:rFonts w:ascii="隶书" w:eastAsia="隶书"/>
        <w:sz w:val="24"/>
      </w:rPr>
      <w:t xml:space="preserve">   </w:t>
    </w:r>
    <w:r>
      <w:rPr>
        <w:rFonts w:hint="eastAsia" w:ascii="隶书" w:eastAsia="隶书"/>
        <w:sz w:val="24"/>
      </w:rPr>
      <w:t xml:space="preserve">             </w:t>
    </w:r>
    <w:r>
      <w:rPr>
        <w:rFonts w:ascii="隶书" w:eastAsia="隶书"/>
        <w:sz w:val="24"/>
      </w:rPr>
      <w:t>www</w:t>
    </w:r>
    <w:r>
      <w:rPr>
        <w:rFonts w:hint="eastAsia" w:ascii="隶书" w:eastAsia="隶书"/>
        <w:sz w:val="24"/>
      </w:rPr>
      <w:t>.lyg</w:t>
    </w:r>
    <w:r>
      <w:rPr>
        <w:rFonts w:ascii="隶书" w:eastAsia="隶书"/>
        <w:sz w:val="24"/>
      </w:rPr>
      <w:t>cq</w:t>
    </w:r>
    <w:r>
      <w:rPr>
        <w:rFonts w:hint="eastAsia" w:ascii="隶书" w:eastAsia="隶书"/>
        <w:sz w:val="24"/>
      </w:rPr>
      <w:t>s</w:t>
    </w:r>
    <w:r>
      <w:rPr>
        <w:rFonts w:ascii="隶书" w:eastAsia="隶书"/>
        <w:sz w:val="24"/>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B339B"/>
    <w:multiLevelType w:val="singleLevel"/>
    <w:tmpl w:val="3DDB33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4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8F"/>
    <w:rsid w:val="00006A89"/>
    <w:rsid w:val="00021EEC"/>
    <w:rsid w:val="00053B32"/>
    <w:rsid w:val="00066D21"/>
    <w:rsid w:val="00092E02"/>
    <w:rsid w:val="000A78F5"/>
    <w:rsid w:val="000B77BF"/>
    <w:rsid w:val="000D0D2E"/>
    <w:rsid w:val="0010257A"/>
    <w:rsid w:val="00121178"/>
    <w:rsid w:val="00142F52"/>
    <w:rsid w:val="00161FB5"/>
    <w:rsid w:val="0018331B"/>
    <w:rsid w:val="00197FF7"/>
    <w:rsid w:val="001E3F36"/>
    <w:rsid w:val="001F26D5"/>
    <w:rsid w:val="002028BC"/>
    <w:rsid w:val="00205A38"/>
    <w:rsid w:val="0021115E"/>
    <w:rsid w:val="0022477E"/>
    <w:rsid w:val="00243422"/>
    <w:rsid w:val="00245818"/>
    <w:rsid w:val="0025426D"/>
    <w:rsid w:val="002C21E3"/>
    <w:rsid w:val="002E3A13"/>
    <w:rsid w:val="00306611"/>
    <w:rsid w:val="003C6B64"/>
    <w:rsid w:val="003F5A1E"/>
    <w:rsid w:val="00412AE5"/>
    <w:rsid w:val="00440DC3"/>
    <w:rsid w:val="004652C9"/>
    <w:rsid w:val="004667A6"/>
    <w:rsid w:val="004A0ACB"/>
    <w:rsid w:val="004B0EC4"/>
    <w:rsid w:val="004C0648"/>
    <w:rsid w:val="004F00B1"/>
    <w:rsid w:val="005774E8"/>
    <w:rsid w:val="0058472F"/>
    <w:rsid w:val="005A7FFD"/>
    <w:rsid w:val="005D3673"/>
    <w:rsid w:val="005E4339"/>
    <w:rsid w:val="00660ED5"/>
    <w:rsid w:val="00664F84"/>
    <w:rsid w:val="006935A4"/>
    <w:rsid w:val="006A2970"/>
    <w:rsid w:val="006B49FE"/>
    <w:rsid w:val="006D26DE"/>
    <w:rsid w:val="006E08DB"/>
    <w:rsid w:val="00716271"/>
    <w:rsid w:val="007340C4"/>
    <w:rsid w:val="007362C4"/>
    <w:rsid w:val="007805A4"/>
    <w:rsid w:val="007821E7"/>
    <w:rsid w:val="00794947"/>
    <w:rsid w:val="007E5231"/>
    <w:rsid w:val="007F4271"/>
    <w:rsid w:val="0082166D"/>
    <w:rsid w:val="00840B8F"/>
    <w:rsid w:val="00861431"/>
    <w:rsid w:val="00865262"/>
    <w:rsid w:val="008A3699"/>
    <w:rsid w:val="008B70B6"/>
    <w:rsid w:val="008E079D"/>
    <w:rsid w:val="00906247"/>
    <w:rsid w:val="00930E46"/>
    <w:rsid w:val="0093159A"/>
    <w:rsid w:val="009A00DC"/>
    <w:rsid w:val="009A0C1D"/>
    <w:rsid w:val="00A1153F"/>
    <w:rsid w:val="00A4495E"/>
    <w:rsid w:val="00A73699"/>
    <w:rsid w:val="00A8302D"/>
    <w:rsid w:val="00A85547"/>
    <w:rsid w:val="00AA608F"/>
    <w:rsid w:val="00AF6178"/>
    <w:rsid w:val="00B1111E"/>
    <w:rsid w:val="00B2137B"/>
    <w:rsid w:val="00B24D2B"/>
    <w:rsid w:val="00B82BE8"/>
    <w:rsid w:val="00B91447"/>
    <w:rsid w:val="00BA1F25"/>
    <w:rsid w:val="00BA499A"/>
    <w:rsid w:val="00BF6DAF"/>
    <w:rsid w:val="00C33727"/>
    <w:rsid w:val="00C91B7C"/>
    <w:rsid w:val="00CE44D5"/>
    <w:rsid w:val="00D12E4E"/>
    <w:rsid w:val="00D414DB"/>
    <w:rsid w:val="00D67A39"/>
    <w:rsid w:val="00D77239"/>
    <w:rsid w:val="00DB0630"/>
    <w:rsid w:val="00DF183D"/>
    <w:rsid w:val="00DF7C50"/>
    <w:rsid w:val="00E2477E"/>
    <w:rsid w:val="00E957F8"/>
    <w:rsid w:val="00EA4B42"/>
    <w:rsid w:val="00EA77E0"/>
    <w:rsid w:val="00EB53CA"/>
    <w:rsid w:val="00EF337D"/>
    <w:rsid w:val="00F412FE"/>
    <w:rsid w:val="00F52612"/>
    <w:rsid w:val="00FB0D27"/>
    <w:rsid w:val="00FE230B"/>
    <w:rsid w:val="033A0C2B"/>
    <w:rsid w:val="08947E60"/>
    <w:rsid w:val="0A122902"/>
    <w:rsid w:val="0FB34CB1"/>
    <w:rsid w:val="103D241B"/>
    <w:rsid w:val="164B69D1"/>
    <w:rsid w:val="16AF785D"/>
    <w:rsid w:val="1BD84BD5"/>
    <w:rsid w:val="1D077978"/>
    <w:rsid w:val="1E6170D9"/>
    <w:rsid w:val="23421292"/>
    <w:rsid w:val="28920CB8"/>
    <w:rsid w:val="2BE90D7A"/>
    <w:rsid w:val="310962A9"/>
    <w:rsid w:val="3C950D54"/>
    <w:rsid w:val="3C9E0BF5"/>
    <w:rsid w:val="3D8116EC"/>
    <w:rsid w:val="3E6314F4"/>
    <w:rsid w:val="4464716A"/>
    <w:rsid w:val="4CDE76C3"/>
    <w:rsid w:val="52FF5F4E"/>
    <w:rsid w:val="53660B5A"/>
    <w:rsid w:val="54E66898"/>
    <w:rsid w:val="55972720"/>
    <w:rsid w:val="5F42291E"/>
    <w:rsid w:val="60874BA6"/>
    <w:rsid w:val="60875A6C"/>
    <w:rsid w:val="62783473"/>
    <w:rsid w:val="69912070"/>
    <w:rsid w:val="6C31396C"/>
    <w:rsid w:val="6CDC1854"/>
    <w:rsid w:val="6D794183"/>
    <w:rsid w:val="70826895"/>
    <w:rsid w:val="71D05485"/>
    <w:rsid w:val="77FA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仿宋_GB2312" w:cs="Times New Roman"/>
      <w:kern w:val="2"/>
      <w:sz w:val="28"/>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4"/>
      <w:szCs w:val="24"/>
      <w:lang w:val="en-US" w:eastAsia="en-US" w:bidi="ar-SA"/>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99"/>
    <w:rPr>
      <w:rFonts w:cs="Times New Roman"/>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style81"/>
    <w:basedOn w:val="9"/>
    <w:qFormat/>
    <w:uiPriority w:val="0"/>
    <w:rPr>
      <w:b/>
      <w:bCs/>
      <w:color w:val="FF0000"/>
      <w:sz w:val="30"/>
      <w:szCs w:val="30"/>
    </w:rPr>
  </w:style>
  <w:style w:type="character" w:customStyle="1" w:styleId="15">
    <w:name w:val="批注框文本 Char"/>
    <w:basedOn w:val="9"/>
    <w:link w:val="4"/>
    <w:semiHidden/>
    <w:qFormat/>
    <w:uiPriority w:val="99"/>
    <w:rPr>
      <w:rFonts w:ascii="??" w:hAnsi="??" w:eastAsia="仿宋_GB2312" w:cs="Times New Roman"/>
      <w:sz w:val="18"/>
      <w:szCs w:val="18"/>
    </w:rPr>
  </w:style>
  <w:style w:type="paragraph" w:styleId="16">
    <w:name w:val="List Paragraph"/>
    <w:basedOn w:val="1"/>
    <w:qFormat/>
    <w:uiPriority w:val="34"/>
    <w:pPr>
      <w:ind w:firstLine="420" w:firstLineChars="200"/>
    </w:pPr>
    <w:rPr>
      <w:rFonts w:ascii="Calibri" w:hAnsi="Calibri" w:eastAsia="宋体"/>
      <w:sz w:val="21"/>
      <w:szCs w:val="22"/>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content_t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apple-converted-space"/>
    <w:basedOn w:val="9"/>
    <w:qFormat/>
    <w:uiPriority w:val="0"/>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2117</Words>
  <Characters>2231</Characters>
  <Lines>6</Lines>
  <Paragraphs>1</Paragraphs>
  <TotalTime>3</TotalTime>
  <ScaleCrop>false</ScaleCrop>
  <LinksUpToDate>false</LinksUpToDate>
  <CharactersWithSpaces>2505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2018-07-04T06:44:00Z</dcterms:created>
  <dc:creator>Administrator</dc:creator>
  <cp:lastModifiedBy>zcq</cp:lastModifiedBy>
  <cp:lastPrinted>2018-10-09T07:04:00Z</cp:lastPrinted>
  <dcterms:modified xsi:type="dcterms:W3CDTF">2026-05-28T03:04:45Z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3488F954FAF048259723108897A207E1_13</vt:lpwstr>
  </property>
  <property fmtid="{D5CDD505-2E9C-101B-9397-08002B2CF9AE}" pid="4" name="KSOTemplateDocerSaveRecord">
    <vt:lpwstr>eyJoZGlkIjoiYTc2YzU5YTFmOGFkYzVkZDlkY2RjNGUwYWZmNjRlMzIiLCJ1c2VySWQiOiI3Mzg3NTgzOTQifQ==</vt:lpwstr>
  </property>
</Properties>
</file>