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7F54B">
      <w:pPr>
        <w:widowControl/>
        <w:jc w:val="center"/>
        <w:rPr>
          <w:rFonts w:ascii="方正黑体_GBK" w:eastAsia="方正黑体_GBK" w:cs="Times New Roman"/>
          <w:bCs/>
          <w:sz w:val="44"/>
          <w:szCs w:val="44"/>
        </w:rPr>
      </w:pPr>
      <w:r>
        <w:rPr>
          <w:rFonts w:hint="eastAsia" w:ascii="方正黑体_GBK" w:eastAsia="方正黑体_GBK" w:cs="黑体"/>
          <w:bCs/>
          <w:sz w:val="44"/>
          <w:szCs w:val="44"/>
        </w:rPr>
        <w:t>收购承诺函</w:t>
      </w:r>
    </w:p>
    <w:tbl>
      <w:tblPr>
        <w:tblStyle w:val="5"/>
        <w:tblW w:w="0" w:type="auto"/>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922"/>
        <w:gridCol w:w="1805"/>
        <w:gridCol w:w="1125"/>
        <w:gridCol w:w="710"/>
        <w:gridCol w:w="696"/>
        <w:gridCol w:w="563"/>
        <w:gridCol w:w="1738"/>
      </w:tblGrid>
      <w:tr w14:paraId="08B4A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631" w:hRule="atLeast"/>
        </w:trPr>
        <w:tc>
          <w:tcPr>
            <w:tcW w:w="1922" w:type="dxa"/>
            <w:tcBorders>
              <w:top w:val="single" w:color="auto" w:sz="12" w:space="0"/>
            </w:tcBorders>
            <w:shd w:val="clear" w:color="auto" w:fill="auto"/>
            <w:vAlign w:val="center"/>
          </w:tcPr>
          <w:p w14:paraId="32F79B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cs="宋体"/>
                <w:sz w:val="24"/>
              </w:rPr>
            </w:pPr>
            <w:r>
              <w:rPr>
                <w:rFonts w:hint="eastAsia" w:ascii="方正仿宋_GBK" w:hAnsi="宋体" w:eastAsia="方正仿宋_GBK" w:cs="宋体"/>
                <w:spacing w:val="10"/>
                <w:kern w:val="0"/>
                <w:sz w:val="24"/>
              </w:rPr>
              <w:t>申请受</w:t>
            </w:r>
            <w:r>
              <w:rPr>
                <w:rFonts w:hint="eastAsia" w:ascii="方正仿宋_GBK" w:hAnsi="宋体" w:eastAsia="方正仿宋_GBK" w:cs="宋体"/>
                <w:spacing w:val="15"/>
                <w:kern w:val="0"/>
                <w:sz w:val="24"/>
              </w:rPr>
              <w:t>让</w:t>
            </w:r>
          </w:p>
          <w:p w14:paraId="3C0EB7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cs="宋体"/>
                <w:sz w:val="24"/>
              </w:rPr>
            </w:pPr>
            <w:r>
              <w:rPr>
                <w:rFonts w:hint="eastAsia" w:ascii="方正仿宋_GBK" w:hAnsi="宋体" w:eastAsia="方正仿宋_GBK" w:cs="宋体"/>
                <w:spacing w:val="15"/>
                <w:kern w:val="0"/>
                <w:sz w:val="24"/>
                <w:fitText w:val="1050" w:id="559498043"/>
              </w:rPr>
              <w:t>的标的</w:t>
            </w:r>
            <w:r>
              <w:rPr>
                <w:rFonts w:hint="eastAsia" w:ascii="方正仿宋_GBK" w:hAnsi="宋体" w:eastAsia="方正仿宋_GBK" w:cs="宋体"/>
                <w:spacing w:val="0"/>
                <w:kern w:val="0"/>
                <w:sz w:val="24"/>
                <w:fitText w:val="1050" w:id="559498043"/>
              </w:rPr>
              <w:t>物</w:t>
            </w:r>
          </w:p>
        </w:tc>
        <w:tc>
          <w:tcPr>
            <w:tcW w:w="6637" w:type="dxa"/>
            <w:gridSpan w:val="6"/>
            <w:tcBorders>
              <w:top w:val="single" w:color="auto" w:sz="12" w:space="0"/>
            </w:tcBorders>
            <w:shd w:val="clear" w:color="auto" w:fill="auto"/>
            <w:vAlign w:val="center"/>
          </w:tcPr>
          <w:p w14:paraId="6CCF621E">
            <w:pPr>
              <w:keepNext w:val="0"/>
              <w:keepLines w:val="0"/>
              <w:pageBreakBefore w:val="0"/>
              <w:kinsoku/>
              <w:wordWrap/>
              <w:overflowPunct/>
              <w:topLinePunct w:val="0"/>
              <w:autoSpaceDE/>
              <w:autoSpaceDN/>
              <w:bidi w:val="0"/>
              <w:adjustRightInd/>
              <w:snapToGrid/>
              <w:spacing w:line="320" w:lineRule="exact"/>
              <w:textAlignment w:val="auto"/>
              <w:rPr>
                <w:rFonts w:hint="default" w:ascii="方正仿宋_GBK" w:eastAsia="方正仿宋_GBK" w:cs="宋体"/>
                <w:color w:val="000000"/>
                <w:sz w:val="24"/>
                <w:lang w:val="en-US" w:eastAsia="zh-CN"/>
              </w:rPr>
            </w:pPr>
            <w:r>
              <w:rPr>
                <w:rFonts w:hint="eastAsia" w:ascii="方正仿宋_GBK" w:eastAsia="方正仿宋_GBK" w:cs="宋体"/>
                <w:sz w:val="24"/>
                <w:lang w:val="en-US" w:eastAsia="zh-CN"/>
              </w:rPr>
              <w:t xml:space="preserve">    </w:t>
            </w:r>
          </w:p>
        </w:tc>
      </w:tr>
      <w:tr w14:paraId="56DCB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1922" w:type="dxa"/>
            <w:shd w:val="clear" w:color="auto" w:fill="auto"/>
            <w:vAlign w:val="center"/>
          </w:tcPr>
          <w:p w14:paraId="23540C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cs="宋体"/>
                <w:sz w:val="24"/>
              </w:rPr>
            </w:pPr>
            <w:r>
              <w:rPr>
                <w:rFonts w:hint="eastAsia" w:ascii="方正仿宋_GBK" w:hAnsi="宋体" w:eastAsia="方正仿宋_GBK" w:cs="宋体"/>
                <w:spacing w:val="15"/>
                <w:kern w:val="0"/>
                <w:sz w:val="24"/>
                <w:fitText w:val="1050" w:id="1"/>
              </w:rPr>
              <w:t>意向受</w:t>
            </w:r>
            <w:r>
              <w:rPr>
                <w:rFonts w:hint="eastAsia" w:ascii="方正仿宋_GBK" w:hAnsi="宋体" w:eastAsia="方正仿宋_GBK" w:cs="宋体"/>
                <w:spacing w:val="0"/>
                <w:kern w:val="0"/>
                <w:sz w:val="24"/>
                <w:fitText w:val="1050" w:id="1"/>
              </w:rPr>
              <w:t>让</w:t>
            </w:r>
          </w:p>
          <w:p w14:paraId="13C494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cs="宋体"/>
                <w:sz w:val="24"/>
              </w:rPr>
            </w:pPr>
            <w:r>
              <w:rPr>
                <w:rFonts w:hint="eastAsia" w:ascii="方正仿宋_GBK" w:hAnsi="宋体" w:eastAsia="方正仿宋_GBK" w:cs="宋体"/>
                <w:spacing w:val="82"/>
                <w:kern w:val="0"/>
                <w:sz w:val="24"/>
                <w:fitText w:val="1050" w:id="2"/>
              </w:rPr>
              <w:t>方名</w:t>
            </w:r>
            <w:r>
              <w:rPr>
                <w:rFonts w:hint="eastAsia" w:ascii="方正仿宋_GBK" w:hAnsi="宋体" w:eastAsia="方正仿宋_GBK" w:cs="宋体"/>
                <w:spacing w:val="1"/>
                <w:kern w:val="0"/>
                <w:sz w:val="24"/>
                <w:fitText w:val="1050" w:id="2"/>
              </w:rPr>
              <w:t>称</w:t>
            </w:r>
          </w:p>
        </w:tc>
        <w:tc>
          <w:tcPr>
            <w:tcW w:w="6637" w:type="dxa"/>
            <w:gridSpan w:val="6"/>
            <w:shd w:val="clear" w:color="auto" w:fill="auto"/>
            <w:vAlign w:val="center"/>
          </w:tcPr>
          <w:p w14:paraId="40F196F0">
            <w:pPr>
              <w:keepNext w:val="0"/>
              <w:keepLines w:val="0"/>
              <w:pageBreakBefore w:val="0"/>
              <w:kinsoku/>
              <w:wordWrap/>
              <w:overflowPunct/>
              <w:topLinePunct w:val="0"/>
              <w:autoSpaceDE/>
              <w:autoSpaceDN/>
              <w:bidi w:val="0"/>
              <w:adjustRightInd/>
              <w:snapToGrid/>
              <w:spacing w:line="320" w:lineRule="exact"/>
              <w:textAlignment w:val="auto"/>
              <w:rPr>
                <w:rFonts w:ascii="方正仿宋_GBK" w:eastAsia="方正仿宋_GBK" w:cs="宋体"/>
                <w:sz w:val="24"/>
              </w:rPr>
            </w:pPr>
          </w:p>
        </w:tc>
      </w:tr>
      <w:tr w14:paraId="1ED69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1" w:hRule="atLeast"/>
        </w:trPr>
        <w:tc>
          <w:tcPr>
            <w:tcW w:w="1922" w:type="dxa"/>
            <w:shd w:val="clear" w:color="auto" w:fill="auto"/>
            <w:vAlign w:val="center"/>
          </w:tcPr>
          <w:p w14:paraId="047DFAC5">
            <w:pPr>
              <w:keepNext w:val="0"/>
              <w:keepLines w:val="0"/>
              <w:pageBreakBefore w:val="0"/>
              <w:kinsoku/>
              <w:wordWrap/>
              <w:overflowPunct/>
              <w:topLinePunct w:val="0"/>
              <w:autoSpaceDE/>
              <w:autoSpaceDN/>
              <w:bidi w:val="0"/>
              <w:adjustRightInd/>
              <w:snapToGrid/>
              <w:spacing w:line="32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住</w:t>
            </w:r>
            <w:r>
              <w:rPr>
                <w:rFonts w:ascii="方正仿宋_GBK" w:hAnsi="宋体" w:eastAsia="方正仿宋_GBK" w:cs="宋体"/>
                <w:kern w:val="0"/>
                <w:sz w:val="24"/>
              </w:rPr>
              <w:t xml:space="preserve">    </w:t>
            </w:r>
            <w:r>
              <w:rPr>
                <w:rFonts w:hint="eastAsia" w:ascii="方正仿宋_GBK" w:hAnsi="宋体" w:eastAsia="方正仿宋_GBK" w:cs="宋体"/>
                <w:kern w:val="0"/>
                <w:sz w:val="24"/>
              </w:rPr>
              <w:t>所</w:t>
            </w:r>
          </w:p>
        </w:tc>
        <w:tc>
          <w:tcPr>
            <w:tcW w:w="6637" w:type="dxa"/>
            <w:gridSpan w:val="6"/>
            <w:shd w:val="clear" w:color="auto" w:fill="auto"/>
            <w:vAlign w:val="center"/>
          </w:tcPr>
          <w:p w14:paraId="047D3079">
            <w:pPr>
              <w:keepNext w:val="0"/>
              <w:keepLines w:val="0"/>
              <w:pageBreakBefore w:val="0"/>
              <w:kinsoku/>
              <w:wordWrap/>
              <w:overflowPunct/>
              <w:topLinePunct w:val="0"/>
              <w:autoSpaceDE/>
              <w:autoSpaceDN/>
              <w:bidi w:val="0"/>
              <w:adjustRightInd/>
              <w:snapToGrid/>
              <w:spacing w:line="320" w:lineRule="exact"/>
              <w:textAlignment w:val="auto"/>
              <w:rPr>
                <w:rFonts w:ascii="方正仿宋_GBK" w:eastAsia="方正仿宋_GBK" w:cs="宋体"/>
                <w:sz w:val="24"/>
              </w:rPr>
            </w:pPr>
          </w:p>
        </w:tc>
      </w:tr>
      <w:tr w14:paraId="104AA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1" w:hRule="atLeast"/>
        </w:trPr>
        <w:tc>
          <w:tcPr>
            <w:tcW w:w="1922" w:type="dxa"/>
            <w:shd w:val="clear" w:color="auto" w:fill="auto"/>
            <w:vAlign w:val="center"/>
          </w:tcPr>
          <w:p w14:paraId="712A6879">
            <w:pPr>
              <w:keepNext w:val="0"/>
              <w:keepLines w:val="0"/>
              <w:pageBreakBefore w:val="0"/>
              <w:kinsoku/>
              <w:wordWrap/>
              <w:overflowPunct/>
              <w:topLinePunct w:val="0"/>
              <w:autoSpaceDE/>
              <w:autoSpaceDN/>
              <w:bidi w:val="0"/>
              <w:adjustRightInd/>
              <w:snapToGrid/>
              <w:spacing w:line="32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联系人</w:t>
            </w:r>
          </w:p>
        </w:tc>
        <w:tc>
          <w:tcPr>
            <w:tcW w:w="2930" w:type="dxa"/>
            <w:gridSpan w:val="2"/>
            <w:tcBorders>
              <w:right w:val="single" w:color="auto" w:sz="4" w:space="0"/>
            </w:tcBorders>
            <w:shd w:val="clear" w:color="auto" w:fill="auto"/>
            <w:vAlign w:val="center"/>
          </w:tcPr>
          <w:p w14:paraId="64F5A7CC">
            <w:pPr>
              <w:keepNext w:val="0"/>
              <w:keepLines w:val="0"/>
              <w:pageBreakBefore w:val="0"/>
              <w:kinsoku/>
              <w:wordWrap/>
              <w:overflowPunct/>
              <w:topLinePunct w:val="0"/>
              <w:autoSpaceDE/>
              <w:autoSpaceDN/>
              <w:bidi w:val="0"/>
              <w:adjustRightInd/>
              <w:snapToGrid/>
              <w:spacing w:line="320" w:lineRule="exact"/>
              <w:textAlignment w:val="auto"/>
              <w:rPr>
                <w:rFonts w:ascii="方正仿宋_GBK" w:eastAsia="方正仿宋_GBK" w:cs="宋体"/>
                <w:sz w:val="24"/>
              </w:rPr>
            </w:pPr>
          </w:p>
        </w:tc>
        <w:tc>
          <w:tcPr>
            <w:tcW w:w="1406" w:type="dxa"/>
            <w:gridSpan w:val="2"/>
            <w:tcBorders>
              <w:left w:val="single" w:color="auto" w:sz="4" w:space="0"/>
              <w:right w:val="single" w:color="auto" w:sz="4" w:space="0"/>
            </w:tcBorders>
            <w:shd w:val="clear" w:color="auto" w:fill="auto"/>
            <w:vAlign w:val="center"/>
          </w:tcPr>
          <w:p w14:paraId="6B3A1B54">
            <w:pPr>
              <w:keepNext w:val="0"/>
              <w:keepLines w:val="0"/>
              <w:pageBreakBefore w:val="0"/>
              <w:kinsoku/>
              <w:wordWrap/>
              <w:overflowPunct/>
              <w:topLinePunct w:val="0"/>
              <w:autoSpaceDE/>
              <w:autoSpaceDN/>
              <w:bidi w:val="0"/>
              <w:adjustRightInd/>
              <w:snapToGrid/>
              <w:spacing w:line="320" w:lineRule="exact"/>
              <w:jc w:val="center"/>
              <w:textAlignment w:val="auto"/>
              <w:rPr>
                <w:rFonts w:ascii="方正仿宋_GBK" w:eastAsia="方正仿宋_GBK" w:cs="宋体"/>
                <w:sz w:val="24"/>
              </w:rPr>
            </w:pPr>
            <w:r>
              <w:rPr>
                <w:rFonts w:hint="eastAsia" w:ascii="方正仿宋_GBK" w:eastAsia="方正仿宋_GBK" w:cs="宋体"/>
                <w:sz w:val="24"/>
              </w:rPr>
              <w:t>联系方式</w:t>
            </w:r>
          </w:p>
        </w:tc>
        <w:tc>
          <w:tcPr>
            <w:tcW w:w="2301" w:type="dxa"/>
            <w:gridSpan w:val="2"/>
            <w:tcBorders>
              <w:left w:val="single" w:color="auto" w:sz="4" w:space="0"/>
            </w:tcBorders>
            <w:shd w:val="clear" w:color="auto" w:fill="auto"/>
            <w:vAlign w:val="center"/>
          </w:tcPr>
          <w:p w14:paraId="085DBA49">
            <w:pPr>
              <w:keepNext w:val="0"/>
              <w:keepLines w:val="0"/>
              <w:pageBreakBefore w:val="0"/>
              <w:kinsoku/>
              <w:wordWrap/>
              <w:overflowPunct/>
              <w:topLinePunct w:val="0"/>
              <w:autoSpaceDE/>
              <w:autoSpaceDN/>
              <w:bidi w:val="0"/>
              <w:adjustRightInd/>
              <w:snapToGrid/>
              <w:spacing w:line="320" w:lineRule="exact"/>
              <w:textAlignment w:val="auto"/>
              <w:rPr>
                <w:rFonts w:ascii="方正仿宋_GBK" w:eastAsia="方正仿宋_GBK" w:cs="宋体"/>
                <w:sz w:val="24"/>
              </w:rPr>
            </w:pPr>
          </w:p>
        </w:tc>
      </w:tr>
      <w:tr w14:paraId="158D7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1922" w:type="dxa"/>
            <w:shd w:val="clear" w:color="auto" w:fill="auto"/>
            <w:vAlign w:val="center"/>
          </w:tcPr>
          <w:p w14:paraId="36E130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cs="宋体"/>
                <w:sz w:val="24"/>
              </w:rPr>
            </w:pPr>
            <w:r>
              <w:rPr>
                <w:rFonts w:hint="eastAsia" w:ascii="方正仿宋_GBK" w:eastAsia="方正仿宋_GBK" w:cs="宋体"/>
                <w:sz w:val="24"/>
              </w:rPr>
              <w:t>基本情况</w:t>
            </w:r>
          </w:p>
          <w:p w14:paraId="53146D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cs="宋体"/>
                <w:sz w:val="24"/>
              </w:rPr>
            </w:pPr>
            <w:r>
              <w:rPr>
                <w:rFonts w:hint="eastAsia" w:ascii="方正仿宋_GBK" w:eastAsia="方正仿宋_GBK" w:cs="宋体"/>
                <w:sz w:val="24"/>
              </w:rPr>
              <w:t>（自然人填写）</w:t>
            </w:r>
          </w:p>
        </w:tc>
        <w:tc>
          <w:tcPr>
            <w:tcW w:w="1805" w:type="dxa"/>
            <w:tcBorders>
              <w:right w:val="single" w:color="auto" w:sz="4" w:space="0"/>
            </w:tcBorders>
            <w:shd w:val="clear" w:color="auto" w:fill="auto"/>
            <w:vAlign w:val="center"/>
          </w:tcPr>
          <w:p w14:paraId="63C47B56">
            <w:pPr>
              <w:keepNext w:val="0"/>
              <w:keepLines w:val="0"/>
              <w:pageBreakBefore w:val="0"/>
              <w:kinsoku/>
              <w:wordWrap/>
              <w:overflowPunct/>
              <w:topLinePunct w:val="0"/>
              <w:autoSpaceDE/>
              <w:autoSpaceDN/>
              <w:bidi w:val="0"/>
              <w:adjustRightInd/>
              <w:snapToGrid/>
              <w:spacing w:line="320" w:lineRule="exact"/>
              <w:textAlignment w:val="auto"/>
              <w:rPr>
                <w:rFonts w:ascii="方正仿宋_GBK" w:eastAsia="方正仿宋_GBK" w:cs="宋体"/>
                <w:sz w:val="24"/>
              </w:rPr>
            </w:pPr>
            <w:r>
              <w:rPr>
                <w:rFonts w:hint="eastAsia" w:ascii="方正仿宋_GBK" w:eastAsia="方正仿宋_GBK" w:cs="宋体"/>
                <w:sz w:val="24"/>
              </w:rPr>
              <w:t>身份证号码</w:t>
            </w:r>
          </w:p>
        </w:tc>
        <w:tc>
          <w:tcPr>
            <w:tcW w:w="4832" w:type="dxa"/>
            <w:gridSpan w:val="5"/>
            <w:tcBorders>
              <w:left w:val="single" w:color="auto" w:sz="4" w:space="0"/>
            </w:tcBorders>
            <w:shd w:val="clear" w:color="auto" w:fill="auto"/>
            <w:vAlign w:val="center"/>
          </w:tcPr>
          <w:p w14:paraId="1921DC2D">
            <w:pPr>
              <w:keepNext w:val="0"/>
              <w:keepLines w:val="0"/>
              <w:pageBreakBefore w:val="0"/>
              <w:kinsoku/>
              <w:wordWrap/>
              <w:overflowPunct/>
              <w:topLinePunct w:val="0"/>
              <w:autoSpaceDE/>
              <w:autoSpaceDN/>
              <w:bidi w:val="0"/>
              <w:adjustRightInd/>
              <w:snapToGrid/>
              <w:spacing w:line="320" w:lineRule="exact"/>
              <w:textAlignment w:val="auto"/>
              <w:rPr>
                <w:rFonts w:ascii="方正仿宋_GBK" w:eastAsia="方正仿宋_GBK" w:cs="宋体"/>
                <w:sz w:val="24"/>
              </w:rPr>
            </w:pPr>
          </w:p>
        </w:tc>
      </w:tr>
      <w:tr w14:paraId="7C33A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71" w:hRule="atLeast"/>
        </w:trPr>
        <w:tc>
          <w:tcPr>
            <w:tcW w:w="1922" w:type="dxa"/>
            <w:vMerge w:val="restart"/>
            <w:tcBorders>
              <w:right w:val="single" w:color="auto" w:sz="4" w:space="0"/>
            </w:tcBorders>
            <w:shd w:val="clear" w:color="auto" w:fill="auto"/>
            <w:vAlign w:val="center"/>
          </w:tcPr>
          <w:p w14:paraId="23F652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基本情况</w:t>
            </w:r>
          </w:p>
          <w:p w14:paraId="3B4E62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cs="宋体"/>
                <w:sz w:val="24"/>
              </w:rPr>
            </w:pPr>
            <w:r>
              <w:rPr>
                <w:rFonts w:hint="eastAsia" w:ascii="方正仿宋_GBK" w:hAnsi="宋体" w:eastAsia="方正仿宋_GBK" w:cs="宋体"/>
                <w:kern w:val="0"/>
                <w:sz w:val="24"/>
              </w:rPr>
              <w:t>（</w:t>
            </w:r>
            <w:r>
              <w:rPr>
                <w:rFonts w:hint="eastAsia" w:ascii="方正仿宋_GBK" w:eastAsia="方正仿宋_GBK" w:cs="宋体"/>
                <w:sz w:val="24"/>
              </w:rPr>
              <w:t>法人填写</w:t>
            </w:r>
            <w:r>
              <w:rPr>
                <w:rFonts w:hint="eastAsia" w:ascii="方正仿宋_GBK" w:hAnsi="宋体" w:eastAsia="方正仿宋_GBK" w:cs="宋体"/>
                <w:kern w:val="0"/>
                <w:sz w:val="24"/>
              </w:rPr>
              <w:t>）</w:t>
            </w:r>
          </w:p>
        </w:tc>
        <w:tc>
          <w:tcPr>
            <w:tcW w:w="1805" w:type="dxa"/>
            <w:tcBorders>
              <w:left w:val="single" w:color="auto" w:sz="4" w:space="0"/>
              <w:right w:val="single" w:color="auto" w:sz="4" w:space="0"/>
            </w:tcBorders>
            <w:shd w:val="clear" w:color="auto" w:fill="auto"/>
            <w:vAlign w:val="center"/>
          </w:tcPr>
          <w:p w14:paraId="0B4EAFA0">
            <w:pPr>
              <w:keepNext w:val="0"/>
              <w:keepLines w:val="0"/>
              <w:pageBreakBefore w:val="0"/>
              <w:kinsoku/>
              <w:wordWrap/>
              <w:overflowPunct/>
              <w:topLinePunct w:val="0"/>
              <w:autoSpaceDE/>
              <w:autoSpaceDN/>
              <w:bidi w:val="0"/>
              <w:adjustRightInd/>
              <w:snapToGrid/>
              <w:spacing w:line="320" w:lineRule="exact"/>
              <w:jc w:val="center"/>
              <w:textAlignment w:val="auto"/>
              <w:rPr>
                <w:rFonts w:ascii="方正仿宋_GBK" w:eastAsia="方正仿宋_GBK" w:cs="宋体"/>
                <w:sz w:val="24"/>
              </w:rPr>
            </w:pPr>
            <w:r>
              <w:rPr>
                <w:rFonts w:hint="eastAsia" w:ascii="方正仿宋_GBK" w:hAnsi="宋体" w:eastAsia="方正仿宋_GBK" w:cs="宋体"/>
                <w:sz w:val="24"/>
              </w:rPr>
              <w:t>法定代表人</w:t>
            </w:r>
          </w:p>
        </w:tc>
        <w:tc>
          <w:tcPr>
            <w:tcW w:w="1835" w:type="dxa"/>
            <w:gridSpan w:val="2"/>
            <w:tcBorders>
              <w:left w:val="single" w:color="auto" w:sz="4" w:space="0"/>
              <w:right w:val="single" w:color="auto" w:sz="4" w:space="0"/>
            </w:tcBorders>
            <w:shd w:val="clear" w:color="auto" w:fill="auto"/>
            <w:vAlign w:val="center"/>
          </w:tcPr>
          <w:p w14:paraId="15AEBA83">
            <w:pPr>
              <w:keepNext w:val="0"/>
              <w:keepLines w:val="0"/>
              <w:pageBreakBefore w:val="0"/>
              <w:kinsoku/>
              <w:wordWrap/>
              <w:overflowPunct/>
              <w:topLinePunct w:val="0"/>
              <w:autoSpaceDE/>
              <w:autoSpaceDN/>
              <w:bidi w:val="0"/>
              <w:adjustRightInd/>
              <w:snapToGrid/>
              <w:spacing w:line="320" w:lineRule="exact"/>
              <w:textAlignment w:val="auto"/>
              <w:rPr>
                <w:rFonts w:ascii="方正仿宋_GBK" w:eastAsia="方正仿宋_GBK" w:cs="宋体"/>
                <w:sz w:val="24"/>
              </w:rPr>
            </w:pPr>
          </w:p>
        </w:tc>
        <w:tc>
          <w:tcPr>
            <w:tcW w:w="1259" w:type="dxa"/>
            <w:gridSpan w:val="2"/>
            <w:tcBorders>
              <w:left w:val="single" w:color="auto" w:sz="4" w:space="0"/>
              <w:right w:val="single" w:color="auto" w:sz="4" w:space="0"/>
            </w:tcBorders>
            <w:shd w:val="clear" w:color="auto" w:fill="auto"/>
            <w:vAlign w:val="center"/>
          </w:tcPr>
          <w:p w14:paraId="59B4AF27">
            <w:pPr>
              <w:keepNext w:val="0"/>
              <w:keepLines w:val="0"/>
              <w:pageBreakBefore w:val="0"/>
              <w:kinsoku/>
              <w:wordWrap/>
              <w:overflowPunct/>
              <w:topLinePunct w:val="0"/>
              <w:autoSpaceDE/>
              <w:autoSpaceDN/>
              <w:bidi w:val="0"/>
              <w:adjustRightInd/>
              <w:snapToGrid/>
              <w:spacing w:line="320" w:lineRule="exact"/>
              <w:jc w:val="center"/>
              <w:textAlignment w:val="auto"/>
              <w:rPr>
                <w:rFonts w:ascii="方正仿宋_GBK" w:eastAsia="方正仿宋_GBK" w:cs="宋体"/>
                <w:sz w:val="24"/>
              </w:rPr>
            </w:pPr>
            <w:r>
              <w:rPr>
                <w:rFonts w:hint="eastAsia" w:ascii="方正仿宋_GBK" w:hAnsi="宋体" w:eastAsia="方正仿宋_GBK" w:cs="宋体"/>
                <w:sz w:val="24"/>
              </w:rPr>
              <w:t>注册资本</w:t>
            </w:r>
          </w:p>
        </w:tc>
        <w:tc>
          <w:tcPr>
            <w:tcW w:w="1738" w:type="dxa"/>
            <w:tcBorders>
              <w:left w:val="single" w:color="auto" w:sz="4" w:space="0"/>
            </w:tcBorders>
            <w:shd w:val="clear" w:color="auto" w:fill="auto"/>
            <w:vAlign w:val="center"/>
          </w:tcPr>
          <w:p w14:paraId="204FF516">
            <w:pPr>
              <w:keepNext w:val="0"/>
              <w:keepLines w:val="0"/>
              <w:pageBreakBefore w:val="0"/>
              <w:kinsoku/>
              <w:wordWrap/>
              <w:overflowPunct/>
              <w:topLinePunct w:val="0"/>
              <w:autoSpaceDE/>
              <w:autoSpaceDN/>
              <w:bidi w:val="0"/>
              <w:adjustRightInd/>
              <w:snapToGrid/>
              <w:spacing w:line="320" w:lineRule="exact"/>
              <w:textAlignment w:val="auto"/>
              <w:rPr>
                <w:rFonts w:ascii="方正仿宋_GBK" w:eastAsia="方正仿宋_GBK" w:cs="宋体"/>
                <w:sz w:val="24"/>
              </w:rPr>
            </w:pPr>
          </w:p>
        </w:tc>
      </w:tr>
      <w:tr w14:paraId="620C4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trPr>
        <w:tc>
          <w:tcPr>
            <w:tcW w:w="1922" w:type="dxa"/>
            <w:vMerge w:val="continue"/>
            <w:tcBorders>
              <w:right w:val="single" w:color="auto" w:sz="4" w:space="0"/>
            </w:tcBorders>
            <w:shd w:val="clear" w:color="auto" w:fill="auto"/>
            <w:vAlign w:val="center"/>
          </w:tcPr>
          <w:p w14:paraId="1312F491">
            <w:pPr>
              <w:keepNext w:val="0"/>
              <w:keepLines w:val="0"/>
              <w:pageBreakBefore w:val="0"/>
              <w:kinsoku/>
              <w:wordWrap/>
              <w:overflowPunct/>
              <w:topLinePunct w:val="0"/>
              <w:autoSpaceDE/>
              <w:autoSpaceDN/>
              <w:bidi w:val="0"/>
              <w:adjustRightInd/>
              <w:snapToGrid/>
              <w:spacing w:line="320" w:lineRule="exact"/>
              <w:jc w:val="center"/>
              <w:textAlignment w:val="auto"/>
              <w:rPr>
                <w:rFonts w:ascii="方正仿宋_GBK" w:hAnsi="宋体" w:eastAsia="方正仿宋_GBK" w:cs="宋体"/>
                <w:kern w:val="0"/>
                <w:sz w:val="24"/>
              </w:rPr>
            </w:pPr>
          </w:p>
        </w:tc>
        <w:tc>
          <w:tcPr>
            <w:tcW w:w="1805" w:type="dxa"/>
            <w:tcBorders>
              <w:left w:val="single" w:color="auto" w:sz="4" w:space="0"/>
              <w:right w:val="single" w:color="auto" w:sz="4" w:space="0"/>
            </w:tcBorders>
            <w:shd w:val="clear" w:color="auto" w:fill="auto"/>
            <w:vAlign w:val="center"/>
          </w:tcPr>
          <w:p w14:paraId="7D863E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统一社会</w:t>
            </w:r>
            <w:r>
              <w:rPr>
                <w:rFonts w:hint="eastAsia" w:ascii="方正仿宋_GBK" w:hAnsi="宋体" w:eastAsia="方正仿宋_GBK" w:cs="宋体"/>
                <w:kern w:val="0"/>
                <w:sz w:val="24"/>
                <w:lang w:val="en-US" w:eastAsia="zh-CN"/>
              </w:rPr>
              <w:t xml:space="preserve">    </w:t>
            </w:r>
            <w:r>
              <w:rPr>
                <w:rFonts w:hint="eastAsia" w:ascii="方正仿宋_GBK" w:hAnsi="宋体" w:eastAsia="方正仿宋_GBK" w:cs="宋体"/>
                <w:kern w:val="0"/>
                <w:sz w:val="24"/>
              </w:rPr>
              <w:t>信用代码</w:t>
            </w:r>
          </w:p>
        </w:tc>
        <w:tc>
          <w:tcPr>
            <w:tcW w:w="4832" w:type="dxa"/>
            <w:gridSpan w:val="5"/>
            <w:tcBorders>
              <w:left w:val="single" w:color="auto" w:sz="4" w:space="0"/>
            </w:tcBorders>
            <w:shd w:val="clear" w:color="auto" w:fill="auto"/>
            <w:vAlign w:val="center"/>
          </w:tcPr>
          <w:p w14:paraId="1BED3BA8">
            <w:pPr>
              <w:keepNext w:val="0"/>
              <w:keepLines w:val="0"/>
              <w:pageBreakBefore w:val="0"/>
              <w:kinsoku/>
              <w:wordWrap/>
              <w:overflowPunct/>
              <w:topLinePunct w:val="0"/>
              <w:autoSpaceDE/>
              <w:autoSpaceDN/>
              <w:bidi w:val="0"/>
              <w:adjustRightInd/>
              <w:snapToGrid/>
              <w:spacing w:line="320" w:lineRule="exact"/>
              <w:textAlignment w:val="auto"/>
              <w:rPr>
                <w:rFonts w:ascii="方正仿宋_GBK" w:eastAsia="方正仿宋_GBK" w:cs="宋体"/>
                <w:sz w:val="24"/>
              </w:rPr>
            </w:pPr>
          </w:p>
        </w:tc>
      </w:tr>
      <w:tr w14:paraId="6B43A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71" w:hRule="atLeast"/>
        </w:trPr>
        <w:tc>
          <w:tcPr>
            <w:tcW w:w="1922" w:type="dxa"/>
            <w:vMerge w:val="continue"/>
            <w:tcBorders>
              <w:right w:val="single" w:color="auto" w:sz="4" w:space="0"/>
            </w:tcBorders>
            <w:shd w:val="clear" w:color="auto" w:fill="auto"/>
            <w:vAlign w:val="center"/>
          </w:tcPr>
          <w:p w14:paraId="63BD6161">
            <w:pPr>
              <w:keepNext w:val="0"/>
              <w:keepLines w:val="0"/>
              <w:pageBreakBefore w:val="0"/>
              <w:kinsoku/>
              <w:wordWrap/>
              <w:overflowPunct/>
              <w:topLinePunct w:val="0"/>
              <w:autoSpaceDE/>
              <w:autoSpaceDN/>
              <w:bidi w:val="0"/>
              <w:adjustRightInd/>
              <w:snapToGrid/>
              <w:spacing w:line="320" w:lineRule="exact"/>
              <w:jc w:val="center"/>
              <w:textAlignment w:val="auto"/>
              <w:rPr>
                <w:rFonts w:ascii="方正仿宋_GBK" w:hAnsi="宋体" w:eastAsia="方正仿宋_GBK" w:cs="宋体"/>
                <w:kern w:val="0"/>
                <w:sz w:val="24"/>
              </w:rPr>
            </w:pPr>
          </w:p>
        </w:tc>
        <w:tc>
          <w:tcPr>
            <w:tcW w:w="1805" w:type="dxa"/>
            <w:tcBorders>
              <w:left w:val="single" w:color="auto" w:sz="4" w:space="0"/>
              <w:right w:val="single" w:color="auto" w:sz="4" w:space="0"/>
            </w:tcBorders>
            <w:shd w:val="clear" w:color="auto" w:fill="auto"/>
            <w:vAlign w:val="center"/>
          </w:tcPr>
          <w:p w14:paraId="64AC5271">
            <w:pPr>
              <w:keepNext w:val="0"/>
              <w:keepLines w:val="0"/>
              <w:pageBreakBefore w:val="0"/>
              <w:kinsoku/>
              <w:wordWrap/>
              <w:overflowPunct/>
              <w:topLinePunct w:val="0"/>
              <w:autoSpaceDE/>
              <w:autoSpaceDN/>
              <w:bidi w:val="0"/>
              <w:adjustRightInd/>
              <w:snapToGrid/>
              <w:spacing w:line="32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经营范围</w:t>
            </w:r>
          </w:p>
        </w:tc>
        <w:tc>
          <w:tcPr>
            <w:tcW w:w="4832" w:type="dxa"/>
            <w:gridSpan w:val="5"/>
            <w:tcBorders>
              <w:left w:val="single" w:color="auto" w:sz="4" w:space="0"/>
            </w:tcBorders>
            <w:shd w:val="clear" w:color="auto" w:fill="auto"/>
            <w:vAlign w:val="center"/>
          </w:tcPr>
          <w:p w14:paraId="27C59646">
            <w:pPr>
              <w:keepNext w:val="0"/>
              <w:keepLines w:val="0"/>
              <w:pageBreakBefore w:val="0"/>
              <w:kinsoku/>
              <w:wordWrap/>
              <w:overflowPunct/>
              <w:topLinePunct w:val="0"/>
              <w:autoSpaceDE/>
              <w:autoSpaceDN/>
              <w:bidi w:val="0"/>
              <w:adjustRightInd/>
              <w:snapToGrid/>
              <w:spacing w:line="320" w:lineRule="exact"/>
              <w:textAlignment w:val="auto"/>
              <w:rPr>
                <w:rFonts w:ascii="方正仿宋_GBK" w:eastAsia="方正仿宋_GBK" w:cs="宋体"/>
                <w:sz w:val="24"/>
              </w:rPr>
            </w:pPr>
          </w:p>
        </w:tc>
      </w:tr>
      <w:tr w14:paraId="02666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8226" w:hRule="atLeast"/>
        </w:trPr>
        <w:tc>
          <w:tcPr>
            <w:tcW w:w="1922" w:type="dxa"/>
            <w:tcBorders>
              <w:bottom w:val="single" w:color="auto" w:sz="12" w:space="0"/>
              <w:right w:val="single" w:color="auto" w:sz="4" w:space="0"/>
            </w:tcBorders>
            <w:shd w:val="clear" w:color="auto" w:fill="auto"/>
            <w:vAlign w:val="center"/>
          </w:tcPr>
          <w:p w14:paraId="22080E29">
            <w:pPr>
              <w:keepNext w:val="0"/>
              <w:keepLines w:val="0"/>
              <w:pageBreakBefore w:val="0"/>
              <w:kinsoku/>
              <w:wordWrap/>
              <w:overflowPunct/>
              <w:topLinePunct w:val="0"/>
              <w:autoSpaceDE/>
              <w:autoSpaceDN/>
              <w:bidi w:val="0"/>
              <w:adjustRightInd/>
              <w:snapToGrid/>
              <w:spacing w:line="320" w:lineRule="exact"/>
              <w:textAlignment w:val="auto"/>
              <w:rPr>
                <w:rFonts w:ascii="方正仿宋_GBK" w:eastAsia="方正仿宋_GBK" w:cs="宋体"/>
                <w:sz w:val="24"/>
              </w:rPr>
            </w:pPr>
            <w:r>
              <w:rPr>
                <w:rFonts w:hint="eastAsia" w:ascii="方正仿宋_GBK" w:eastAsia="方正仿宋_GBK"/>
                <w:sz w:val="24"/>
              </w:rPr>
              <w:t>意向受让方承诺</w:t>
            </w:r>
          </w:p>
        </w:tc>
        <w:tc>
          <w:tcPr>
            <w:tcW w:w="6637" w:type="dxa"/>
            <w:gridSpan w:val="6"/>
            <w:tcBorders>
              <w:left w:val="single" w:color="auto" w:sz="4" w:space="0"/>
              <w:bottom w:val="single" w:color="auto" w:sz="12" w:space="0"/>
            </w:tcBorders>
            <w:shd w:val="clear" w:color="auto" w:fill="auto"/>
            <w:vAlign w:val="center"/>
          </w:tcPr>
          <w:p w14:paraId="09E11B60">
            <w:pPr>
              <w:keepNext w:val="0"/>
              <w:keepLines w:val="0"/>
              <w:pageBreakBefore w:val="0"/>
              <w:widowControl w:val="0"/>
              <w:kinsoku/>
              <w:wordWrap w:val="0"/>
              <w:overflowPunct/>
              <w:topLinePunct w:val="0"/>
              <w:autoSpaceDE/>
              <w:autoSpaceDN/>
              <w:bidi w:val="0"/>
              <w:adjustRightInd/>
              <w:snapToGrid/>
              <w:spacing w:line="320" w:lineRule="exact"/>
              <w:ind w:firstLine="480" w:firstLineChars="200"/>
              <w:textAlignment w:val="auto"/>
              <w:rPr>
                <w:rFonts w:hint="eastAsia" w:ascii="方正仿宋_GBK" w:eastAsia="方正仿宋_GBK" w:cs="宋体"/>
                <w:sz w:val="24"/>
              </w:rPr>
            </w:pPr>
            <w:r>
              <w:rPr>
                <w:rFonts w:hint="eastAsia" w:ascii="方正仿宋_GBK" w:eastAsia="方正仿宋_GBK" w:cs="宋体"/>
                <w:sz w:val="24"/>
              </w:rPr>
              <w:t>我方决定报名受让</w:t>
            </w:r>
            <w:r>
              <w:rPr>
                <w:rFonts w:hint="eastAsia" w:ascii="方正仿宋_GBK" w:eastAsia="方正仿宋_GBK" w:cs="宋体"/>
                <w:color w:val="FF0000"/>
                <w:sz w:val="24"/>
                <w:lang w:val="en-US" w:eastAsia="zh-CN"/>
              </w:rPr>
              <w:t>本项目公告所示转让方</w:t>
            </w:r>
            <w:r>
              <w:rPr>
                <w:rFonts w:hint="eastAsia" w:ascii="方正仿宋_GBK" w:eastAsia="方正仿宋_GBK" w:cs="宋体"/>
                <w:sz w:val="24"/>
              </w:rPr>
              <w:t>（以下简称“转让方”）通过江苏省产权交易所有限公司公开转让的</w:t>
            </w:r>
            <w:r>
              <w:rPr>
                <w:rFonts w:hint="eastAsia" w:ascii="方正仿宋_GBK" w:eastAsia="方正仿宋_GBK" w:cs="宋体"/>
                <w:sz w:val="24"/>
                <w:u w:val="single"/>
                <w:lang w:val="en-US" w:eastAsia="zh-CN"/>
              </w:rPr>
              <w:t xml:space="preserve">  江苏省灌溉总渠管理处北运西闸下游树木</w:t>
            </w:r>
            <w:bookmarkStart w:id="0" w:name="_GoBack"/>
            <w:bookmarkEnd w:id="0"/>
            <w:r>
              <w:rPr>
                <w:rFonts w:hint="eastAsia" w:ascii="方正仿宋_GBK" w:eastAsia="方正仿宋_GBK" w:cs="宋体"/>
                <w:sz w:val="24"/>
                <w:u w:val="single"/>
                <w:lang w:val="en-US" w:eastAsia="zh-CN"/>
              </w:rPr>
              <w:t xml:space="preserve"> </w:t>
            </w:r>
            <w:r>
              <w:rPr>
                <w:rFonts w:hint="eastAsia" w:ascii="方正仿宋_GBK" w:eastAsia="方正仿宋_GBK" w:cs="宋体"/>
                <w:sz w:val="24"/>
              </w:rPr>
              <w:t>（以下简称“标的”），现就有关事项承诺如下：</w:t>
            </w:r>
          </w:p>
          <w:p w14:paraId="4878DC53">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ascii="方正仿宋_GBK" w:eastAsia="方正仿宋_GBK" w:cs="宋体"/>
                <w:sz w:val="24"/>
              </w:rPr>
            </w:pPr>
            <w:r>
              <w:rPr>
                <w:rFonts w:ascii="方正仿宋_GBK" w:eastAsia="方正仿宋_GBK" w:cs="宋体"/>
                <w:sz w:val="24"/>
              </w:rPr>
              <w:t>1</w:t>
            </w:r>
            <w:r>
              <w:rPr>
                <w:rFonts w:hint="eastAsia" w:ascii="方正仿宋_GBK" w:eastAsia="方正仿宋_GBK" w:cs="宋体"/>
                <w:sz w:val="24"/>
              </w:rPr>
              <w:t>、以不低于公开转让信息公告中所列转让底价</w:t>
            </w:r>
            <w:r>
              <w:rPr>
                <w:rFonts w:hint="eastAsia" w:ascii="方正仿宋_GBK" w:hAnsi="宋体" w:eastAsia="方正仿宋_GBK" w:cs="方正仿宋_GBK"/>
                <w:sz w:val="24"/>
              </w:rPr>
              <w:t>之价格</w:t>
            </w:r>
            <w:r>
              <w:rPr>
                <w:rFonts w:hint="eastAsia" w:ascii="方正仿宋_GBK" w:eastAsia="方正仿宋_GBK" w:cs="宋体"/>
                <w:sz w:val="24"/>
              </w:rPr>
              <w:t>受让该标的；</w:t>
            </w:r>
          </w:p>
          <w:p w14:paraId="77A2331C">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ascii="方正仿宋_GBK" w:eastAsia="方正仿宋_GBK" w:cs="宋体"/>
                <w:sz w:val="24"/>
              </w:rPr>
            </w:pPr>
            <w:r>
              <w:rPr>
                <w:rFonts w:ascii="方正仿宋_GBK" w:eastAsia="方正仿宋_GBK" w:cs="宋体"/>
                <w:sz w:val="24"/>
              </w:rPr>
              <w:t>2</w:t>
            </w:r>
            <w:r>
              <w:rPr>
                <w:rFonts w:hint="eastAsia" w:ascii="方正仿宋_GBK" w:eastAsia="方正仿宋_GBK" w:cs="宋体"/>
                <w:sz w:val="24"/>
              </w:rPr>
              <w:t>、完全知悉并接受公开转让信息公告及资产转让合同（公告附件）等文件所列的所有内容和条件，且遵守公告中“特别告知”涉及的所有条款；</w:t>
            </w:r>
          </w:p>
          <w:p w14:paraId="22BEF131">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ascii="方正仿宋_GBK" w:eastAsia="方正仿宋_GBK" w:cs="宋体"/>
                <w:color w:val="FF0000"/>
                <w:sz w:val="24"/>
              </w:rPr>
            </w:pPr>
            <w:r>
              <w:rPr>
                <w:rFonts w:ascii="方正仿宋_GBK" w:eastAsia="方正仿宋_GBK" w:cs="宋体"/>
                <w:sz w:val="24"/>
              </w:rPr>
              <w:t>3</w:t>
            </w:r>
            <w:r>
              <w:rPr>
                <w:rFonts w:hint="eastAsia" w:ascii="方正仿宋_GBK" w:eastAsia="方正仿宋_GBK" w:cs="宋体"/>
                <w:sz w:val="24"/>
              </w:rPr>
              <w:t>、决定报名参与本次受让是我方基于对本次资产转让有关资料和信息的充分了解、认同并接受转让标的的现状并已履行了必要的决策程序后作出的，是我方真实意愿的表示</w:t>
            </w:r>
            <w:r>
              <w:rPr>
                <w:rFonts w:hint="eastAsia" w:ascii="方正仿宋_GBK" w:eastAsia="方正仿宋_GBK" w:cs="宋体"/>
                <w:sz w:val="24"/>
                <w:lang w:eastAsia="zh-CN"/>
              </w:rPr>
              <w:t>。</w:t>
            </w:r>
            <w:r>
              <w:rPr>
                <w:rFonts w:hint="eastAsia" w:ascii="方正仿宋_GBK" w:eastAsia="方正仿宋_GBK" w:cs="宋体"/>
                <w:color w:val="FF0000"/>
                <w:sz w:val="24"/>
                <w:lang w:val="en-US" w:eastAsia="zh-CN"/>
              </w:rPr>
              <w:t>如我方所填报的本《收购承诺函》所表述的意向受让标的与我方实际意向受让标的不符，由我方全权自行承担责任</w:t>
            </w:r>
            <w:r>
              <w:rPr>
                <w:rFonts w:hint="eastAsia" w:ascii="方正仿宋_GBK" w:eastAsia="方正仿宋_GBK" w:cs="宋体"/>
                <w:color w:val="FF0000"/>
                <w:sz w:val="24"/>
              </w:rPr>
              <w:t>；</w:t>
            </w:r>
          </w:p>
          <w:p w14:paraId="60F97723">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ascii="方正仿宋_GBK" w:eastAsia="方正仿宋_GBK" w:cs="宋体"/>
                <w:sz w:val="24"/>
              </w:rPr>
            </w:pPr>
            <w:r>
              <w:rPr>
                <w:rFonts w:ascii="方正仿宋_GBK" w:eastAsia="方正仿宋_GBK" w:cs="宋体"/>
                <w:sz w:val="24"/>
              </w:rPr>
              <w:t>4</w:t>
            </w:r>
            <w:r>
              <w:rPr>
                <w:rFonts w:hint="eastAsia" w:ascii="方正仿宋_GBK" w:eastAsia="方正仿宋_GBK" w:cs="宋体"/>
                <w:sz w:val="24"/>
              </w:rPr>
              <w:t>、我方提供的全部资料是合法、真实、有效的，不存在任何遗漏和虚假；</w:t>
            </w:r>
          </w:p>
          <w:p w14:paraId="797D06DF">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方正仿宋_GBK" w:eastAsia="方正仿宋_GBK" w:cs="宋体"/>
                <w:color w:val="FF0000"/>
                <w:sz w:val="24"/>
              </w:rPr>
            </w:pPr>
            <w:r>
              <w:rPr>
                <w:rFonts w:ascii="方正仿宋_GBK" w:eastAsia="方正仿宋_GBK" w:cs="宋体"/>
                <w:sz w:val="24"/>
              </w:rPr>
              <w:t>5</w:t>
            </w:r>
            <w:r>
              <w:rPr>
                <w:rFonts w:hint="eastAsia" w:ascii="方正仿宋_GBK" w:eastAsia="方正仿宋_GBK" w:cs="宋体"/>
                <w:sz w:val="24"/>
              </w:rPr>
              <w:t>、如我方成为受让方，不存在妨碍我方成为标的受让方的任何障碍</w:t>
            </w:r>
            <w:r>
              <w:rPr>
                <w:rFonts w:hint="eastAsia" w:ascii="方正仿宋_GBK" w:eastAsia="方正仿宋_GBK" w:cs="宋体"/>
                <w:sz w:val="24"/>
                <w:lang w:eastAsia="zh-CN"/>
              </w:rPr>
              <w:t>。</w:t>
            </w:r>
            <w:r>
              <w:rPr>
                <w:rFonts w:hint="eastAsia" w:ascii="方正仿宋_GBK" w:eastAsia="方正仿宋_GBK" w:cs="宋体"/>
                <w:color w:val="FF0000"/>
                <w:sz w:val="24"/>
                <w:lang w:val="en-US" w:eastAsia="zh-CN"/>
              </w:rPr>
              <w:t>我方已评分了解标的状况并对可能存在的全部瑕疵进行了评估，被确定为受让方后，我方不此为理由拒绝与转让方签订资产转让合同、或拖延与转让方签订资产转让合同的期限；</w:t>
            </w:r>
          </w:p>
          <w:p w14:paraId="3C18E3FC">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方正仿宋_GBK" w:eastAsia="方正仿宋_GBK" w:cs="宋体"/>
                <w:sz w:val="24"/>
                <w:lang w:eastAsia="zh-CN"/>
              </w:rPr>
            </w:pPr>
            <w:r>
              <w:rPr>
                <w:rFonts w:ascii="方正仿宋_GBK" w:eastAsia="方正仿宋_GBK" w:cs="宋体"/>
                <w:sz w:val="24"/>
              </w:rPr>
              <w:t>6</w:t>
            </w:r>
            <w:r>
              <w:rPr>
                <w:rFonts w:hint="eastAsia" w:ascii="方正仿宋_GBK" w:eastAsia="方正仿宋_GBK" w:cs="宋体"/>
                <w:sz w:val="24"/>
              </w:rPr>
              <w:t>、收购资金来源合法，且能合法用于本次收购</w:t>
            </w:r>
            <w:r>
              <w:rPr>
                <w:rFonts w:hint="eastAsia" w:ascii="方正仿宋_GBK" w:eastAsia="方正仿宋_GBK" w:cs="宋体"/>
                <w:sz w:val="24"/>
                <w:lang w:eastAsia="zh-CN"/>
              </w:rPr>
              <w:t>；</w:t>
            </w:r>
          </w:p>
          <w:p w14:paraId="7B96E317">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default" w:ascii="方正仿宋_GBK" w:eastAsia="方正仿宋_GBK" w:cs="宋体"/>
                <w:sz w:val="24"/>
                <w:lang w:val="en-US" w:eastAsia="zh-CN"/>
              </w:rPr>
            </w:pPr>
            <w:r>
              <w:rPr>
                <w:rFonts w:ascii="方正仿宋_GBK" w:eastAsia="方正仿宋_GBK" w:cs="宋体"/>
                <w:sz w:val="24"/>
              </w:rPr>
              <w:t>7</w:t>
            </w:r>
            <w:r>
              <w:rPr>
                <w:rFonts w:hint="eastAsia" w:ascii="方正仿宋_GBK" w:eastAsia="方正仿宋_GBK" w:cs="宋体"/>
                <w:sz w:val="24"/>
              </w:rPr>
              <w:t>、已完全知悉并严格遵守企业国有资产交易的相关法律法规的规定和江苏省产权交易所有限公司的相关规则，按照有关要求履行我方义务；</w:t>
            </w:r>
            <w:r>
              <w:rPr>
                <w:rFonts w:hint="eastAsia" w:ascii="方正仿宋_GBK" w:eastAsia="方正仿宋_GBK" w:cs="宋体"/>
                <w:color w:val="FF0000"/>
                <w:sz w:val="24"/>
                <w:lang w:eastAsia="zh-CN"/>
              </w:rPr>
              <w:t>我方自行通过江苏产权市场网（www.jscq.com.cn）以及</w:t>
            </w:r>
            <w:r>
              <w:rPr>
                <w:rFonts w:hint="eastAsia" w:ascii="方正仿宋_GBK" w:eastAsia="方正仿宋_GBK" w:cs="宋体"/>
                <w:color w:val="FF0000"/>
                <w:sz w:val="24"/>
                <w:lang w:val="en-US" w:eastAsia="zh-CN"/>
              </w:rPr>
              <w:t>E</w:t>
            </w:r>
            <w:r>
              <w:rPr>
                <w:rFonts w:hint="eastAsia" w:ascii="方正仿宋_GBK" w:eastAsia="方正仿宋_GBK" w:cs="宋体"/>
                <w:color w:val="FF0000"/>
                <w:sz w:val="24"/>
                <w:lang w:eastAsia="zh-CN"/>
              </w:rPr>
              <w:t>交易</w:t>
            </w:r>
            <w:r>
              <w:rPr>
                <w:rFonts w:hint="eastAsia" w:ascii="方正仿宋_GBK" w:eastAsia="方正仿宋_GBK" w:cs="宋体"/>
                <w:color w:val="FF0000"/>
                <w:sz w:val="24"/>
                <w:lang w:val="en-US" w:eastAsia="zh-CN"/>
              </w:rPr>
              <w:t>电子</w:t>
            </w:r>
            <w:r>
              <w:rPr>
                <w:rFonts w:hint="eastAsia" w:ascii="方正仿宋_GBK" w:eastAsia="方正仿宋_GBK" w:cs="宋体"/>
                <w:color w:val="FF0000"/>
                <w:sz w:val="24"/>
                <w:lang w:eastAsia="zh-CN"/>
              </w:rPr>
              <w:t>平台（www.ejy365.com）了解交易过程中的意向报名审核状态、保证金交纳状态、竞价时间安排、成交公告发布等交易环节情况，因我方未及时查看相关交易环节情况导致的一切后果均由我方自行承担</w:t>
            </w:r>
            <w:r>
              <w:rPr>
                <w:rFonts w:hint="eastAsia" w:ascii="方正仿宋_GBK" w:eastAsia="方正仿宋_GBK" w:cs="宋体"/>
                <w:color w:val="FF0000"/>
                <w:sz w:val="24"/>
                <w:lang w:val="en-US" w:eastAsia="zh-CN"/>
              </w:rPr>
              <w:t>；</w:t>
            </w:r>
          </w:p>
          <w:p w14:paraId="7A6845A6">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ascii="方正仿宋_GBK" w:eastAsia="方正仿宋_GBK" w:cs="宋体"/>
                <w:sz w:val="24"/>
              </w:rPr>
            </w:pPr>
            <w:r>
              <w:rPr>
                <w:rFonts w:ascii="方正仿宋_GBK" w:eastAsia="方正仿宋_GBK" w:cs="宋体"/>
                <w:sz w:val="24"/>
              </w:rPr>
              <w:t>8</w:t>
            </w:r>
            <w:r>
              <w:rPr>
                <w:rFonts w:hint="eastAsia" w:ascii="方正仿宋_GBK" w:eastAsia="方正仿宋_GBK" w:cs="宋体"/>
                <w:sz w:val="24"/>
              </w:rPr>
              <w:t>、我方知悉并遵守</w:t>
            </w:r>
            <w:r>
              <w:rPr>
                <w:rFonts w:ascii="方正仿宋_GBK" w:eastAsia="方正仿宋_GBK" w:cs="宋体"/>
                <w:sz w:val="24"/>
              </w:rPr>
              <w:t>E</w:t>
            </w:r>
            <w:r>
              <w:rPr>
                <w:rFonts w:hint="eastAsia" w:ascii="方正仿宋_GBK" w:eastAsia="方正仿宋_GBK" w:cs="宋体"/>
                <w:sz w:val="24"/>
              </w:rPr>
              <w:t>交易电子平台的各类规则，对我方</w:t>
            </w:r>
            <w:r>
              <w:rPr>
                <w:rFonts w:ascii="方正仿宋_GBK" w:eastAsia="方正仿宋_GBK" w:cs="宋体"/>
                <w:sz w:val="24"/>
              </w:rPr>
              <w:t>E</w:t>
            </w:r>
            <w:r>
              <w:rPr>
                <w:rFonts w:hint="eastAsia" w:ascii="方正仿宋_GBK" w:eastAsia="方正仿宋_GBK" w:cs="宋体"/>
                <w:sz w:val="24"/>
              </w:rPr>
              <w:t>交易电子平台账号和密码下进行的行为和发生的事件负责；</w:t>
            </w:r>
          </w:p>
          <w:p w14:paraId="6410F7EB">
            <w:pPr>
              <w:keepNext w:val="0"/>
              <w:keepLines w:val="0"/>
              <w:pageBreakBefore w:val="0"/>
              <w:widowControl w:val="0"/>
              <w:kinsoku/>
              <w:wordWrap w:val="0"/>
              <w:overflowPunct/>
              <w:topLinePunct w:val="0"/>
              <w:autoSpaceDE/>
              <w:autoSpaceDN/>
              <w:bidi w:val="0"/>
              <w:adjustRightInd/>
              <w:snapToGrid/>
              <w:spacing w:line="320" w:lineRule="exact"/>
              <w:ind w:firstLine="480" w:firstLineChars="200"/>
              <w:textAlignment w:val="auto"/>
              <w:rPr>
                <w:rFonts w:hint="eastAsia" w:ascii="方正仿宋_GBK" w:eastAsia="方正仿宋_GBK" w:cs="宋体"/>
                <w:sz w:val="24"/>
              </w:rPr>
            </w:pPr>
            <w:r>
              <w:rPr>
                <w:rFonts w:ascii="方正仿宋_GBK" w:eastAsia="方正仿宋_GBK" w:cs="宋体"/>
                <w:sz w:val="24"/>
              </w:rPr>
              <w:t>9</w:t>
            </w:r>
            <w:r>
              <w:rPr>
                <w:rFonts w:hint="eastAsia" w:ascii="方正仿宋_GBK" w:eastAsia="方正仿宋_GBK" w:cs="宋体"/>
                <w:sz w:val="24"/>
              </w:rPr>
              <w:t>、对于参与本次受让过程中，获取的所有书面和非书面资料及信息，仅作为本次受让之用途，不用于本次受让之外的任何其他目的，也不会以任何形式提供给任何第三方；</w:t>
            </w:r>
          </w:p>
          <w:p w14:paraId="395F2E05">
            <w:pPr>
              <w:keepNext w:val="0"/>
              <w:keepLines w:val="0"/>
              <w:pageBreakBefore w:val="0"/>
              <w:widowControl w:val="0"/>
              <w:kinsoku/>
              <w:wordWrap w:val="0"/>
              <w:overflowPunct/>
              <w:topLinePunct w:val="0"/>
              <w:autoSpaceDE/>
              <w:autoSpaceDN/>
              <w:bidi w:val="0"/>
              <w:adjustRightInd/>
              <w:snapToGrid/>
              <w:spacing w:line="320" w:lineRule="exact"/>
              <w:ind w:firstLine="480" w:firstLineChars="200"/>
              <w:textAlignment w:val="auto"/>
              <w:rPr>
                <w:rFonts w:hint="default" w:ascii="方正仿宋_GBK" w:eastAsia="方正仿宋_GBK" w:cs="宋体"/>
                <w:color w:val="FF0000"/>
                <w:sz w:val="24"/>
                <w:lang w:val="en-US" w:eastAsia="zh-CN"/>
              </w:rPr>
            </w:pPr>
            <w:r>
              <w:rPr>
                <w:rFonts w:hint="eastAsia" w:ascii="方正仿宋_GBK" w:eastAsia="方正仿宋_GBK" w:cs="宋体"/>
                <w:color w:val="FF0000"/>
                <w:sz w:val="24"/>
              </w:rPr>
              <w:t>10、一旦被江苏省产权交易所有限公司确定为受让方，按</w:t>
            </w:r>
            <w:r>
              <w:rPr>
                <w:rFonts w:hint="eastAsia" w:ascii="方正仿宋_GBK" w:eastAsia="方正仿宋_GBK" w:cs="宋体"/>
                <w:color w:val="FF0000"/>
                <w:sz w:val="24"/>
                <w:lang w:eastAsia="zh-CN"/>
              </w:rPr>
              <w:t>《</w:t>
            </w:r>
            <w:r>
              <w:rPr>
                <w:rFonts w:hint="eastAsia" w:ascii="方正仿宋_GBK" w:eastAsia="方正仿宋_GBK" w:cs="宋体"/>
                <w:color w:val="FF0000"/>
                <w:sz w:val="24"/>
              </w:rPr>
              <w:t>关于优化公共资源交易服务收费管理有关事项的通知</w:t>
            </w:r>
            <w:r>
              <w:rPr>
                <w:rFonts w:hint="eastAsia" w:ascii="方正仿宋_GBK" w:eastAsia="方正仿宋_GBK" w:cs="宋体"/>
                <w:color w:val="FF0000"/>
                <w:sz w:val="24"/>
                <w:lang w:eastAsia="zh-CN"/>
              </w:rPr>
              <w:t>》（</w:t>
            </w:r>
            <w:r>
              <w:rPr>
                <w:rFonts w:hint="eastAsia" w:ascii="方正仿宋_GBK" w:eastAsia="方正仿宋_GBK" w:cs="宋体"/>
                <w:color w:val="FF0000"/>
                <w:sz w:val="24"/>
              </w:rPr>
              <w:t>苏发改收费发〔 2023〕 851号</w:t>
            </w:r>
            <w:r>
              <w:rPr>
                <w:rFonts w:hint="eastAsia" w:ascii="方正仿宋_GBK" w:eastAsia="方正仿宋_GBK" w:cs="宋体"/>
                <w:color w:val="FF0000"/>
                <w:sz w:val="24"/>
                <w:lang w:eastAsia="zh-CN"/>
              </w:rPr>
              <w:t>）（https://www.jscq.com.cn/uiFramework/js/pdfjs/web/viewer.html?file=/jscq/attachDir/2023/10/2023101917585934574.pdf）</w:t>
            </w:r>
            <w:r>
              <w:rPr>
                <w:rFonts w:hint="eastAsia" w:ascii="方正仿宋_GBK" w:eastAsia="方正仿宋_GBK" w:cs="宋体"/>
                <w:color w:val="FF0000"/>
                <w:sz w:val="24"/>
                <w:lang w:val="en-US" w:eastAsia="zh-CN"/>
              </w:rPr>
              <w:t>中“</w:t>
            </w:r>
            <w:r>
              <w:rPr>
                <w:rFonts w:hint="eastAsia" w:ascii="方正仿宋_GBK" w:eastAsia="方正仿宋_GBK" w:cs="宋体"/>
                <w:color w:val="FF0000"/>
                <w:sz w:val="24"/>
              </w:rPr>
              <w:t>国有产权交易服务费收费标准表</w:t>
            </w:r>
            <w:r>
              <w:rPr>
                <w:rFonts w:hint="eastAsia" w:ascii="方正仿宋_GBK" w:eastAsia="方正仿宋_GBK" w:cs="宋体"/>
                <w:color w:val="FF0000"/>
                <w:sz w:val="24"/>
                <w:lang w:val="en-US" w:eastAsia="zh-CN"/>
              </w:rPr>
              <w:t>”的规定（公告对服务费另有要求的，按公告要求为准）向江苏产权交易所有限公司交纳交易服务费，且不以任何理由要求江苏省产权交易所有限公司减免或退还我方上述费用。</w:t>
            </w:r>
          </w:p>
          <w:p w14:paraId="4087EF70">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ascii="方正仿宋_GBK" w:eastAsia="方正仿宋_GBK" w:cs="宋体"/>
                <w:color w:val="FF0000"/>
                <w:sz w:val="24"/>
              </w:rPr>
            </w:pPr>
            <w:r>
              <w:rPr>
                <w:rFonts w:ascii="方正仿宋_GBK" w:eastAsia="方正仿宋_GBK" w:cs="宋体"/>
                <w:color w:val="FF0000"/>
                <w:sz w:val="24"/>
              </w:rPr>
              <w:t>11</w:t>
            </w:r>
            <w:r>
              <w:rPr>
                <w:rFonts w:hint="eastAsia" w:ascii="方正仿宋_GBK" w:eastAsia="方正仿宋_GBK" w:cs="宋体"/>
                <w:color w:val="FF0000"/>
                <w:sz w:val="24"/>
              </w:rPr>
              <w:t>、一旦被江苏省产权交易所有限公司确定为受让方，在</w:t>
            </w:r>
            <w:r>
              <w:rPr>
                <w:rFonts w:hint="eastAsia" w:ascii="方正仿宋_GBK" w:eastAsia="方正仿宋_GBK" w:cs="宋体"/>
                <w:color w:val="FF0000"/>
                <w:sz w:val="24"/>
                <w:lang w:val="en-US" w:eastAsia="zh-CN"/>
              </w:rPr>
              <w:t xml:space="preserve"> 本项目公告中规定的期限内</w:t>
            </w:r>
            <w:r>
              <w:rPr>
                <w:rFonts w:hint="eastAsia" w:ascii="方正仿宋_GBK" w:eastAsia="方正仿宋_GBK" w:cs="宋体"/>
                <w:color w:val="FF0000"/>
                <w:sz w:val="24"/>
              </w:rPr>
              <w:t>与转让方签订相关资产转让合同（合同内容详见公告附件）；</w:t>
            </w:r>
          </w:p>
          <w:p w14:paraId="6FA07CC0">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方正仿宋_GBK" w:eastAsia="方正仿宋_GBK" w:cs="宋体"/>
                <w:color w:val="FF0000"/>
                <w:sz w:val="24"/>
                <w:lang w:eastAsia="zh-CN"/>
              </w:rPr>
            </w:pPr>
            <w:r>
              <w:rPr>
                <w:rFonts w:ascii="方正仿宋_GBK" w:eastAsia="方正仿宋_GBK" w:cs="宋体"/>
                <w:color w:val="FF0000"/>
                <w:sz w:val="24"/>
              </w:rPr>
              <w:t>12</w:t>
            </w:r>
            <w:r>
              <w:rPr>
                <w:rFonts w:hint="eastAsia" w:ascii="方正仿宋_GBK" w:eastAsia="方正仿宋_GBK" w:cs="宋体"/>
                <w:color w:val="FF0000"/>
                <w:sz w:val="24"/>
              </w:rPr>
              <w:t>、我方一旦按照江苏省产权交易所有限公司的要求提交保证金，则表示我方确定参与受让，该保证金作为全面履行本次受让各项承诺的保证，若我方违反</w:t>
            </w:r>
            <w:r>
              <w:rPr>
                <w:rFonts w:hint="eastAsia" w:ascii="方正仿宋_GBK" w:eastAsia="方正仿宋_GBK" w:cs="宋体"/>
                <w:color w:val="FF0000"/>
                <w:sz w:val="24"/>
                <w:lang w:val="en-US" w:eastAsia="zh-CN"/>
              </w:rPr>
              <w:t>本承诺函中</w:t>
            </w:r>
            <w:r>
              <w:rPr>
                <w:rFonts w:hint="eastAsia" w:ascii="方正仿宋_GBK" w:eastAsia="方正仿宋_GBK" w:cs="宋体"/>
                <w:color w:val="FF0000"/>
                <w:sz w:val="24"/>
              </w:rPr>
              <w:t>所作出的任何承诺和保证，江苏省产权交易所有限公司有权冻结我方保证金，在扣除应向江苏省产权交易所支付的交易服务费后，保证金剩余部分赔付给转让方</w:t>
            </w:r>
            <w:r>
              <w:rPr>
                <w:rFonts w:hint="eastAsia" w:ascii="方正仿宋_GBK" w:eastAsia="方正仿宋_GBK" w:cs="宋体"/>
                <w:color w:val="FF0000"/>
                <w:sz w:val="24"/>
                <w:lang w:eastAsia="zh-CN"/>
              </w:rPr>
              <w:t>；</w:t>
            </w:r>
          </w:p>
          <w:p w14:paraId="07741514">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方正仿宋_GBK" w:eastAsia="方正仿宋_GBK" w:cs="宋体"/>
                <w:sz w:val="24"/>
                <w:lang w:eastAsia="zh-CN"/>
              </w:rPr>
            </w:pPr>
            <w:r>
              <w:rPr>
                <w:rFonts w:ascii="方正仿宋_GBK" w:eastAsia="方正仿宋_GBK" w:cs="宋体"/>
                <w:sz w:val="24"/>
              </w:rPr>
              <w:t>1</w:t>
            </w:r>
            <w:r>
              <w:rPr>
                <w:rFonts w:hint="eastAsia" w:ascii="方正仿宋_GBK" w:eastAsia="方正仿宋_GBK" w:cs="宋体"/>
                <w:sz w:val="24"/>
              </w:rPr>
              <w:t>3、标的交割过程中产生的一切安全、经济责任和纠纷由我方自行或与转让方双方协商解决，与江苏省产权交易所有限公司无关</w:t>
            </w:r>
            <w:r>
              <w:rPr>
                <w:rFonts w:hint="eastAsia" w:ascii="方正仿宋_GBK" w:eastAsia="方正仿宋_GBK" w:cs="宋体"/>
                <w:sz w:val="24"/>
                <w:lang w:eastAsia="zh-CN"/>
              </w:rPr>
              <w:t>；</w:t>
            </w:r>
          </w:p>
          <w:p w14:paraId="6173D3C4">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ascii="方正仿宋_GBK" w:eastAsia="方正仿宋_GBK" w:cs="宋体"/>
                <w:sz w:val="24"/>
              </w:rPr>
            </w:pPr>
            <w:r>
              <w:rPr>
                <w:rFonts w:ascii="方正仿宋_GBK" w:eastAsia="方正仿宋_GBK" w:cs="宋体"/>
                <w:sz w:val="24"/>
              </w:rPr>
              <w:t>1</w:t>
            </w:r>
            <w:r>
              <w:rPr>
                <w:rFonts w:hint="eastAsia" w:ascii="方正仿宋_GBK" w:eastAsia="方正仿宋_GBK" w:cs="宋体"/>
                <w:sz w:val="24"/>
              </w:rPr>
              <w:t>4、我方与该项目交易所涉各方不存在关联关系和利益输送情形，由此产生的一切纠纷、诉讼和责任由我方自行解决，与江苏省产权交易所有限公司无关。</w:t>
            </w:r>
          </w:p>
          <w:p w14:paraId="63E492FE">
            <w:pPr>
              <w:keepNext w:val="0"/>
              <w:keepLines w:val="0"/>
              <w:pageBreakBefore w:val="0"/>
              <w:kinsoku/>
              <w:wordWrap/>
              <w:overflowPunct/>
              <w:topLinePunct w:val="0"/>
              <w:autoSpaceDE/>
              <w:autoSpaceDN/>
              <w:bidi w:val="0"/>
              <w:adjustRightInd/>
              <w:snapToGrid/>
              <w:spacing w:line="320" w:lineRule="exact"/>
              <w:ind w:right="480" w:firstLine="3120" w:firstLineChars="1300"/>
              <w:textAlignment w:val="auto"/>
              <w:rPr>
                <w:rFonts w:ascii="方正仿宋_GBK" w:hAnsi="宋体" w:eastAsia="方正仿宋_GBK" w:cs="方正仿宋_GBK"/>
                <w:sz w:val="24"/>
              </w:rPr>
            </w:pPr>
            <w:r>
              <w:rPr>
                <w:rFonts w:hint="eastAsia" w:ascii="方正仿宋_GBK" w:hAnsi="宋体" w:eastAsia="方正仿宋_GBK" w:cs="方正仿宋_GBK"/>
                <w:sz w:val="24"/>
              </w:rPr>
              <w:t>签章：</w:t>
            </w:r>
          </w:p>
          <w:p w14:paraId="35070C03">
            <w:pPr>
              <w:keepNext w:val="0"/>
              <w:keepLines w:val="0"/>
              <w:pageBreakBefore w:val="0"/>
              <w:kinsoku/>
              <w:wordWrap/>
              <w:overflowPunct/>
              <w:topLinePunct w:val="0"/>
              <w:autoSpaceDE/>
              <w:autoSpaceDN/>
              <w:bidi w:val="0"/>
              <w:adjustRightInd/>
              <w:snapToGrid/>
              <w:spacing w:line="320" w:lineRule="exact"/>
              <w:ind w:firstLine="4080" w:firstLineChars="1700"/>
              <w:textAlignment w:val="auto"/>
              <w:rPr>
                <w:rFonts w:ascii="方正仿宋_GBK" w:hAnsi="宋体" w:eastAsia="方正仿宋_GBK" w:cs="方正仿宋_GBK"/>
                <w:sz w:val="24"/>
              </w:rPr>
            </w:pPr>
            <w:r>
              <w:rPr>
                <w:rFonts w:hint="eastAsia" w:ascii="方正仿宋_GBK" w:hAnsi="宋体" w:eastAsia="方正仿宋_GBK" w:cs="方正仿宋_GBK"/>
                <w:sz w:val="24"/>
              </w:rPr>
              <w:t>年</w:t>
            </w:r>
            <w:r>
              <w:rPr>
                <w:rFonts w:ascii="方正仿宋_GBK" w:hAnsi="宋体" w:eastAsia="方正仿宋_GBK" w:cs="方正仿宋_GBK"/>
                <w:sz w:val="24"/>
              </w:rPr>
              <w:t xml:space="preserve">    </w:t>
            </w:r>
            <w:r>
              <w:rPr>
                <w:rFonts w:hint="eastAsia" w:ascii="方正仿宋_GBK" w:hAnsi="宋体" w:eastAsia="方正仿宋_GBK" w:cs="方正仿宋_GBK"/>
                <w:sz w:val="24"/>
              </w:rPr>
              <w:t>月</w:t>
            </w:r>
            <w:r>
              <w:rPr>
                <w:rFonts w:ascii="方正仿宋_GBK" w:hAnsi="宋体" w:eastAsia="方正仿宋_GBK" w:cs="方正仿宋_GBK"/>
                <w:sz w:val="24"/>
              </w:rPr>
              <w:t xml:space="preserve">    </w:t>
            </w:r>
            <w:r>
              <w:rPr>
                <w:rFonts w:hint="eastAsia" w:ascii="方正仿宋_GBK" w:hAnsi="宋体" w:eastAsia="方正仿宋_GBK" w:cs="方正仿宋_GBK"/>
                <w:sz w:val="24"/>
              </w:rPr>
              <w:t>日</w:t>
            </w:r>
          </w:p>
          <w:p w14:paraId="36E8F396">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ascii="方正仿宋_GBK" w:eastAsia="方正仿宋_GBK" w:cs="宋体"/>
                <w:sz w:val="24"/>
              </w:rPr>
            </w:pPr>
          </w:p>
        </w:tc>
      </w:tr>
    </w:tbl>
    <w:p w14:paraId="263E3B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N2YzMDI5NzVmNzhmOTkzOTQ3NzVkYTE1MGQyMzQifQ=="/>
  </w:docVars>
  <w:rsids>
    <w:rsidRoot w:val="007142DC"/>
    <w:rsid w:val="001F3352"/>
    <w:rsid w:val="002D5B48"/>
    <w:rsid w:val="005843F4"/>
    <w:rsid w:val="007142DC"/>
    <w:rsid w:val="007F7F5B"/>
    <w:rsid w:val="00895428"/>
    <w:rsid w:val="009D327F"/>
    <w:rsid w:val="00AF1669"/>
    <w:rsid w:val="00D22540"/>
    <w:rsid w:val="00D909E0"/>
    <w:rsid w:val="00EA7ACE"/>
    <w:rsid w:val="02A64FDA"/>
    <w:rsid w:val="02E03C0B"/>
    <w:rsid w:val="040F349F"/>
    <w:rsid w:val="048729CC"/>
    <w:rsid w:val="05D51F20"/>
    <w:rsid w:val="06200BAF"/>
    <w:rsid w:val="07590243"/>
    <w:rsid w:val="085945EA"/>
    <w:rsid w:val="098F4196"/>
    <w:rsid w:val="09947C3D"/>
    <w:rsid w:val="09BD0537"/>
    <w:rsid w:val="0B2C15E6"/>
    <w:rsid w:val="0C733D27"/>
    <w:rsid w:val="0D4304ED"/>
    <w:rsid w:val="0F227BC6"/>
    <w:rsid w:val="0F971405"/>
    <w:rsid w:val="0FDC4A77"/>
    <w:rsid w:val="113B580E"/>
    <w:rsid w:val="11ED5B89"/>
    <w:rsid w:val="12070D27"/>
    <w:rsid w:val="12287FF4"/>
    <w:rsid w:val="14E406B9"/>
    <w:rsid w:val="154F539F"/>
    <w:rsid w:val="15B17080"/>
    <w:rsid w:val="169B04EB"/>
    <w:rsid w:val="16DE03AC"/>
    <w:rsid w:val="197F5151"/>
    <w:rsid w:val="19DF1A60"/>
    <w:rsid w:val="1A200DE4"/>
    <w:rsid w:val="1C0D3D75"/>
    <w:rsid w:val="1C1C6C27"/>
    <w:rsid w:val="1CD947A3"/>
    <w:rsid w:val="1D922609"/>
    <w:rsid w:val="1F4F493F"/>
    <w:rsid w:val="22621A57"/>
    <w:rsid w:val="239E16F6"/>
    <w:rsid w:val="263107C3"/>
    <w:rsid w:val="26965735"/>
    <w:rsid w:val="26CE0277"/>
    <w:rsid w:val="27696AB6"/>
    <w:rsid w:val="29682797"/>
    <w:rsid w:val="2C6C42EB"/>
    <w:rsid w:val="31AB7AB3"/>
    <w:rsid w:val="32973860"/>
    <w:rsid w:val="33E16FE8"/>
    <w:rsid w:val="351B0853"/>
    <w:rsid w:val="36344718"/>
    <w:rsid w:val="36EF0865"/>
    <w:rsid w:val="37367B6C"/>
    <w:rsid w:val="399A3F88"/>
    <w:rsid w:val="39D31E79"/>
    <w:rsid w:val="3AA92D02"/>
    <w:rsid w:val="3CD765B1"/>
    <w:rsid w:val="424270DB"/>
    <w:rsid w:val="4463391B"/>
    <w:rsid w:val="44B80948"/>
    <w:rsid w:val="488C5D42"/>
    <w:rsid w:val="48913E3C"/>
    <w:rsid w:val="48D14DF5"/>
    <w:rsid w:val="49F01610"/>
    <w:rsid w:val="4AF423E9"/>
    <w:rsid w:val="4BD50F61"/>
    <w:rsid w:val="4D2F1FEE"/>
    <w:rsid w:val="4E384BCD"/>
    <w:rsid w:val="4FC10B3A"/>
    <w:rsid w:val="4FE73662"/>
    <w:rsid w:val="5050076A"/>
    <w:rsid w:val="507D57EA"/>
    <w:rsid w:val="51912326"/>
    <w:rsid w:val="52A75A43"/>
    <w:rsid w:val="53FC5170"/>
    <w:rsid w:val="56733F02"/>
    <w:rsid w:val="56D96156"/>
    <w:rsid w:val="571F2696"/>
    <w:rsid w:val="57C92C4E"/>
    <w:rsid w:val="58B24287"/>
    <w:rsid w:val="594D5E87"/>
    <w:rsid w:val="599B05B1"/>
    <w:rsid w:val="5D0474DA"/>
    <w:rsid w:val="5FC16D39"/>
    <w:rsid w:val="620D0DEA"/>
    <w:rsid w:val="631F4D38"/>
    <w:rsid w:val="655E5E33"/>
    <w:rsid w:val="68136D33"/>
    <w:rsid w:val="69347016"/>
    <w:rsid w:val="6B2B2D72"/>
    <w:rsid w:val="6C7E7B3B"/>
    <w:rsid w:val="70E11059"/>
    <w:rsid w:val="71C87E6F"/>
    <w:rsid w:val="75077957"/>
    <w:rsid w:val="773C5361"/>
    <w:rsid w:val="784D6CBD"/>
    <w:rsid w:val="7AE55FC9"/>
    <w:rsid w:val="7E6472FE"/>
    <w:rsid w:val="7F64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unhideWhenUsed/>
    <w:qFormat/>
    <w:uiPriority w:val="99"/>
    <w:pPr>
      <w:tabs>
        <w:tab w:val="center" w:pos="4153"/>
        <w:tab w:val="right" w:pos="8306"/>
      </w:tabs>
      <w:snapToGrid w:val="0"/>
      <w:jc w:val="left"/>
    </w:pPr>
    <w:rPr>
      <w:sz w:val="18"/>
      <w:szCs w:val="18"/>
    </w:rPr>
  </w:style>
  <w:style w:type="paragraph" w:styleId="3">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link w:val="33"/>
    <w:qFormat/>
    <w:uiPriority w:val="0"/>
    <w:pPr>
      <w:snapToGrid w:val="0"/>
      <w:jc w:val="left"/>
    </w:pPr>
    <w:rPr>
      <w:sz w:val="18"/>
    </w:rPr>
  </w:style>
  <w:style w:type="character" w:styleId="7">
    <w:name w:val="Strong"/>
    <w:basedOn w:val="6"/>
    <w:qFormat/>
    <w:uiPriority w:val="0"/>
    <w:rPr>
      <w:b/>
    </w:rPr>
  </w:style>
  <w:style w:type="character" w:styleId="8">
    <w:name w:val="FollowedHyperlink"/>
    <w:basedOn w:val="6"/>
    <w:semiHidden/>
    <w:unhideWhenUsed/>
    <w:qFormat/>
    <w:uiPriority w:val="99"/>
    <w:rPr>
      <w:color w:val="000000"/>
      <w:u w:val="none"/>
    </w:rPr>
  </w:style>
  <w:style w:type="character" w:styleId="9">
    <w:name w:val="Emphasis"/>
    <w:basedOn w:val="6"/>
    <w:qFormat/>
    <w:uiPriority w:val="0"/>
  </w:style>
  <w:style w:type="character" w:styleId="10">
    <w:name w:val="HTML Definition"/>
    <w:basedOn w:val="6"/>
    <w:semiHidden/>
    <w:unhideWhenUsed/>
    <w:qFormat/>
    <w:uiPriority w:val="99"/>
    <w:rPr>
      <w:i/>
    </w:rPr>
  </w:style>
  <w:style w:type="character" w:styleId="11">
    <w:name w:val="HTML Acronym"/>
    <w:basedOn w:val="6"/>
    <w:semiHidden/>
    <w:unhideWhenUsed/>
    <w:qFormat/>
    <w:uiPriority w:val="99"/>
  </w:style>
  <w:style w:type="character" w:styleId="12">
    <w:name w:val="HTML Variable"/>
    <w:basedOn w:val="6"/>
    <w:semiHidden/>
    <w:unhideWhenUsed/>
    <w:qFormat/>
    <w:uiPriority w:val="99"/>
  </w:style>
  <w:style w:type="character" w:styleId="13">
    <w:name w:val="Hyperlink"/>
    <w:basedOn w:val="6"/>
    <w:semiHidden/>
    <w:unhideWhenUsed/>
    <w:qFormat/>
    <w:uiPriority w:val="99"/>
    <w:rPr>
      <w:color w:val="000000"/>
      <w:u w:val="none"/>
    </w:rPr>
  </w:style>
  <w:style w:type="character" w:styleId="14">
    <w:name w:val="HTML Code"/>
    <w:basedOn w:val="6"/>
    <w:semiHidden/>
    <w:unhideWhenUsed/>
    <w:qFormat/>
    <w:uiPriority w:val="99"/>
    <w:rPr>
      <w:rFonts w:hint="default" w:ascii="serif" w:hAnsi="serif" w:eastAsia="serif" w:cs="serif"/>
      <w:sz w:val="21"/>
      <w:szCs w:val="21"/>
    </w:rPr>
  </w:style>
  <w:style w:type="character" w:styleId="15">
    <w:name w:val="HTML Cite"/>
    <w:basedOn w:val="6"/>
    <w:semiHidden/>
    <w:unhideWhenUsed/>
    <w:qFormat/>
    <w:uiPriority w:val="99"/>
  </w:style>
  <w:style w:type="character" w:styleId="16">
    <w:name w:val="footnote reference"/>
    <w:basedOn w:val="6"/>
    <w:qFormat/>
    <w:uiPriority w:val="0"/>
    <w:rPr>
      <w:vertAlign w:val="superscript"/>
    </w:rPr>
  </w:style>
  <w:style w:type="character" w:styleId="17">
    <w:name w:val="HTML Keyboard"/>
    <w:basedOn w:val="6"/>
    <w:semiHidden/>
    <w:unhideWhenUsed/>
    <w:qFormat/>
    <w:uiPriority w:val="99"/>
    <w:rPr>
      <w:rFonts w:ascii="serif" w:hAnsi="serif" w:eastAsia="serif" w:cs="serif"/>
      <w:sz w:val="21"/>
      <w:szCs w:val="21"/>
    </w:rPr>
  </w:style>
  <w:style w:type="character" w:styleId="18">
    <w:name w:val="HTML Sample"/>
    <w:basedOn w:val="6"/>
    <w:semiHidden/>
    <w:unhideWhenUsed/>
    <w:qFormat/>
    <w:uiPriority w:val="99"/>
    <w:rPr>
      <w:rFonts w:hint="default" w:ascii="serif" w:hAnsi="serif" w:eastAsia="serif" w:cs="serif"/>
      <w:sz w:val="21"/>
      <w:szCs w:val="21"/>
    </w:rPr>
  </w:style>
  <w:style w:type="character" w:customStyle="1" w:styleId="19">
    <w:name w:val="tang-pass-qrcode-list-gx"/>
    <w:basedOn w:val="6"/>
    <w:qFormat/>
    <w:uiPriority w:val="0"/>
  </w:style>
  <w:style w:type="character" w:customStyle="1" w:styleId="20">
    <w:name w:val="pass-clearbtn-smsverifycode"/>
    <w:basedOn w:val="6"/>
    <w:qFormat/>
    <w:uiPriority w:val="0"/>
  </w:style>
  <w:style w:type="character" w:customStyle="1" w:styleId="21">
    <w:name w:val="tang-pass-qrcode-list-aq"/>
    <w:basedOn w:val="6"/>
    <w:qFormat/>
    <w:uiPriority w:val="0"/>
  </w:style>
  <w:style w:type="character" w:customStyle="1" w:styleId="22">
    <w:name w:val="tang-pass-qrcode-list-bj"/>
    <w:basedOn w:val="6"/>
    <w:qFormat/>
    <w:uiPriority w:val="0"/>
  </w:style>
  <w:style w:type="character" w:customStyle="1" w:styleId="23">
    <w:name w:val="pass-placeholder"/>
    <w:basedOn w:val="6"/>
    <w:qFormat/>
    <w:uiPriority w:val="0"/>
  </w:style>
  <w:style w:type="character" w:customStyle="1" w:styleId="24">
    <w:name w:val="open"/>
    <w:basedOn w:val="6"/>
    <w:qFormat/>
    <w:uiPriority w:val="0"/>
  </w:style>
  <w:style w:type="character" w:customStyle="1" w:styleId="25">
    <w:name w:val="pass-clearbtn-verifycode"/>
    <w:basedOn w:val="6"/>
    <w:qFormat/>
    <w:uiPriority w:val="0"/>
  </w:style>
  <w:style w:type="character" w:customStyle="1" w:styleId="26">
    <w:name w:val="pass-placeholder-smsphone"/>
    <w:basedOn w:val="6"/>
    <w:qFormat/>
    <w:uiPriority w:val="0"/>
  </w:style>
  <w:style w:type="character" w:customStyle="1" w:styleId="27">
    <w:name w:val="pass-item-timer2"/>
    <w:basedOn w:val="6"/>
    <w:qFormat/>
    <w:uiPriority w:val="0"/>
  </w:style>
  <w:style w:type="character" w:customStyle="1" w:styleId="28">
    <w:name w:val="pass-placeholder-smsverifycode"/>
    <w:basedOn w:val="6"/>
    <w:qFormat/>
    <w:uiPriority w:val="0"/>
  </w:style>
  <w:style w:type="character" w:customStyle="1" w:styleId="29">
    <w:name w:val="pass-item-time-timing2"/>
    <w:basedOn w:val="6"/>
    <w:qFormat/>
    <w:uiPriority w:val="0"/>
  </w:style>
  <w:style w:type="character" w:customStyle="1" w:styleId="30">
    <w:name w:val="pass-placeholder2"/>
    <w:basedOn w:val="6"/>
    <w:qFormat/>
    <w:uiPriority w:val="0"/>
  </w:style>
  <w:style w:type="character" w:customStyle="1" w:styleId="31">
    <w:name w:val="pass-item-timer"/>
    <w:basedOn w:val="6"/>
    <w:qFormat/>
    <w:uiPriority w:val="0"/>
  </w:style>
  <w:style w:type="character" w:customStyle="1" w:styleId="32">
    <w:name w:val="pass-item-time-timing"/>
    <w:basedOn w:val="6"/>
    <w:qFormat/>
    <w:uiPriority w:val="0"/>
  </w:style>
  <w:style w:type="character" w:customStyle="1" w:styleId="33">
    <w:name w:val="脚注文本 Char"/>
    <w:basedOn w:val="6"/>
    <w:link w:val="4"/>
    <w:qFormat/>
    <w:uiPriority w:val="0"/>
    <w:rPr>
      <w:rFonts w:asciiTheme="minorHAnsi" w:hAnsiTheme="minorHAnsi" w:eastAsiaTheme="minorEastAsia" w:cstheme="minorBidi"/>
      <w:kern w:val="2"/>
      <w:sz w:val="18"/>
      <w:szCs w:val="24"/>
    </w:rPr>
  </w:style>
  <w:style w:type="character" w:customStyle="1" w:styleId="34">
    <w:name w:val="页眉 Char"/>
    <w:basedOn w:val="6"/>
    <w:link w:val="3"/>
    <w:qFormat/>
    <w:uiPriority w:val="0"/>
    <w:rPr>
      <w:rFonts w:asciiTheme="minorHAnsi" w:hAnsiTheme="minorHAnsi" w:eastAsiaTheme="minorEastAsia" w:cstheme="minorBidi"/>
      <w:kern w:val="2"/>
      <w:sz w:val="18"/>
      <w:szCs w:val="24"/>
    </w:rPr>
  </w:style>
  <w:style w:type="character" w:customStyle="1" w:styleId="35">
    <w:name w:val="页脚 Char"/>
    <w:basedOn w:val="6"/>
    <w:link w:val="2"/>
    <w:qFormat/>
    <w:uiPriority w:val="99"/>
    <w:rPr>
      <w:rFonts w:asciiTheme="minorHAnsi" w:hAnsiTheme="minorHAnsi" w:eastAsiaTheme="minorEastAsia" w:cstheme="minorBidi"/>
      <w:kern w:val="2"/>
      <w:sz w:val="18"/>
      <w:szCs w:val="18"/>
    </w:rPr>
  </w:style>
  <w:style w:type="character" w:customStyle="1" w:styleId="36">
    <w:name w:val="bsharetext"/>
    <w:basedOn w:val="6"/>
    <w:qFormat/>
    <w:uiPriority w:val="0"/>
  </w:style>
  <w:style w:type="character" w:customStyle="1" w:styleId="37">
    <w:name w:val="fontstyle01"/>
    <w:basedOn w:val="6"/>
    <w:qFormat/>
    <w:uiPriority w:val="0"/>
    <w:rPr>
      <w:rFonts w:ascii="方正小标宋_GBK" w:hAnsi="方正小标宋_GBK" w:eastAsia="方正小标宋_GBK" w:cs="方正小标宋_GBK"/>
      <w:color w:val="000000"/>
      <w:sz w:val="44"/>
      <w:szCs w:val="44"/>
    </w:rPr>
  </w:style>
  <w:style w:type="character" w:customStyle="1" w:styleId="38">
    <w:name w:val="fontstyle21"/>
    <w:basedOn w:val="6"/>
    <w:qFormat/>
    <w:uiPriority w:val="0"/>
    <w:rPr>
      <w:rFonts w:hint="default" w:ascii="Times New Roman" w:hAnsi="Times New Roman" w:cs="Times New Roman"/>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1357</Words>
  <Characters>1514</Characters>
  <Lines>9</Lines>
  <Paragraphs>2</Paragraphs>
  <TotalTime>1</TotalTime>
  <ScaleCrop>false</ScaleCrop>
  <LinksUpToDate>false</LinksUpToDate>
  <CharactersWithSpaces>1540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2020-12-07T06:25:00Z</dcterms:created>
  <dc:creator>朱珠</dc:creator>
  <cp:lastModifiedBy>理想</cp:lastModifiedBy>
  <dcterms:modified xsi:type="dcterms:W3CDTF">2024-09-20T02:30:06Z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43BBB88FC7624DFAB64A5A29FFFFE787_13</vt:lpwstr>
  </property>
</Properties>
</file>