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297FF">
      <w:pPr>
        <w:spacing w:before="1560" w:beforeLines="500" w:line="0" w:lineRule="atLeast"/>
        <w:jc w:val="center"/>
        <w:rPr>
          <w:rFonts w:eastAsia="宋体"/>
          <w:b/>
          <w:bCs/>
          <w:sz w:val="44"/>
          <w:szCs w:val="44"/>
        </w:rPr>
      </w:pPr>
      <w:r>
        <w:rPr>
          <w:rFonts w:hint="eastAsia" w:eastAsia="宋体"/>
          <w:b/>
          <w:bCs/>
          <w:sz w:val="44"/>
          <w:szCs w:val="44"/>
        </w:rPr>
        <w:t>煤炭销售合同</w:t>
      </w:r>
    </w:p>
    <w:p w14:paraId="0B55A22D">
      <w:pPr>
        <w:spacing w:before="240" w:line="0" w:lineRule="atLeast"/>
        <w:jc w:val="center"/>
        <w:rPr>
          <w:rFonts w:eastAsia="宋体"/>
          <w:b/>
          <w:bCs/>
          <w:sz w:val="44"/>
          <w:szCs w:val="44"/>
        </w:rPr>
      </w:pPr>
    </w:p>
    <w:p w14:paraId="33AF7183">
      <w:pPr>
        <w:spacing w:before="240" w:line="0" w:lineRule="atLeast"/>
        <w:jc w:val="center"/>
        <w:rPr>
          <w:rFonts w:eastAsia="宋体"/>
          <w:b/>
          <w:bCs/>
          <w:sz w:val="44"/>
          <w:szCs w:val="44"/>
        </w:rPr>
      </w:pPr>
    </w:p>
    <w:p w14:paraId="4A6B655C">
      <w:pPr>
        <w:spacing w:before="240" w:line="0" w:lineRule="atLeast"/>
        <w:jc w:val="center"/>
        <w:rPr>
          <w:rFonts w:eastAsia="宋体"/>
          <w:b/>
          <w:bCs/>
          <w:sz w:val="44"/>
          <w:szCs w:val="44"/>
        </w:rPr>
      </w:pPr>
    </w:p>
    <w:p w14:paraId="761E225A">
      <w:pPr>
        <w:spacing w:before="240" w:line="0" w:lineRule="atLeast"/>
        <w:jc w:val="center"/>
        <w:rPr>
          <w:rFonts w:eastAsia="宋体"/>
          <w:b/>
          <w:bCs/>
          <w:sz w:val="44"/>
          <w:szCs w:val="44"/>
        </w:rPr>
      </w:pPr>
    </w:p>
    <w:p w14:paraId="23521284">
      <w:pPr>
        <w:spacing w:before="240" w:line="0" w:lineRule="atLeast"/>
        <w:jc w:val="center"/>
        <w:rPr>
          <w:rFonts w:eastAsia="宋体"/>
          <w:b/>
          <w:bCs/>
          <w:sz w:val="44"/>
          <w:szCs w:val="44"/>
        </w:rPr>
      </w:pPr>
    </w:p>
    <w:p w14:paraId="25357B33">
      <w:pPr>
        <w:spacing w:before="240" w:line="0" w:lineRule="atLeast"/>
        <w:jc w:val="center"/>
        <w:rPr>
          <w:rFonts w:eastAsia="宋体"/>
          <w:b/>
          <w:bCs/>
          <w:sz w:val="44"/>
          <w:szCs w:val="44"/>
        </w:rPr>
      </w:pPr>
    </w:p>
    <w:p w14:paraId="52E9DD6B">
      <w:pPr>
        <w:spacing w:before="240" w:line="0" w:lineRule="atLeast"/>
        <w:jc w:val="center"/>
        <w:rPr>
          <w:rFonts w:eastAsia="宋体"/>
          <w:b/>
          <w:bCs/>
          <w:sz w:val="44"/>
          <w:szCs w:val="44"/>
        </w:rPr>
      </w:pPr>
    </w:p>
    <w:p w14:paraId="3C279547">
      <w:pPr>
        <w:spacing w:line="360" w:lineRule="auto"/>
        <w:ind w:firstLine="560" w:firstLineChars="200"/>
        <w:rPr>
          <w:rFonts w:hint="eastAsia" w:ascii="宋体" w:hAnsi="宋体" w:eastAsia="宋体" w:cs="宋体"/>
          <w:sz w:val="28"/>
          <w:szCs w:val="28"/>
          <w:u w:val="single"/>
          <w:lang w:val="en-US" w:eastAsia="zh-CN"/>
        </w:rPr>
      </w:pPr>
      <w:r>
        <w:rPr>
          <w:rFonts w:hint="eastAsia" w:ascii="宋体" w:hAnsi="宋体" w:eastAsia="宋体" w:cs="宋体"/>
          <w:sz w:val="28"/>
          <w:szCs w:val="28"/>
        </w:rPr>
        <w:t>卖方（甲方）：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华润电力（锡林郭勒）煤业有限公司  </w:t>
      </w:r>
      <w:r>
        <w:rPr>
          <w:rFonts w:hint="eastAsia" w:ascii="宋体" w:hAnsi="宋体" w:eastAsia="宋体" w:cs="宋体"/>
          <w:sz w:val="28"/>
          <w:szCs w:val="28"/>
          <w:u w:val="single"/>
          <w:lang w:val="en-US" w:eastAsia="zh-CN"/>
        </w:rPr>
        <w:t xml:space="preserve"> </w:t>
      </w:r>
    </w:p>
    <w:p w14:paraId="61F180E1">
      <w:pPr>
        <w:spacing w:line="360" w:lineRule="auto"/>
        <w:ind w:firstLine="560" w:firstLineChars="200"/>
        <w:rPr>
          <w:rFonts w:ascii="宋体" w:hAnsi="宋体" w:eastAsia="宋体" w:cs="宋体"/>
          <w:sz w:val="28"/>
          <w:szCs w:val="28"/>
          <w:u w:val="single"/>
        </w:rPr>
      </w:pPr>
      <w:r>
        <w:rPr>
          <w:rFonts w:hint="eastAsia" w:ascii="宋体" w:hAnsi="宋体" w:eastAsia="宋体" w:cs="宋体"/>
          <w:sz w:val="28"/>
          <w:szCs w:val="28"/>
        </w:rPr>
        <w:t>买方（乙方）：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26BC03BC">
      <w:pPr>
        <w:spacing w:line="360" w:lineRule="auto"/>
        <w:ind w:firstLine="560" w:firstLineChars="200"/>
        <w:rPr>
          <w:rFonts w:hint="default" w:ascii="宋体" w:hAnsi="宋体" w:eastAsia="宋体" w:cs="宋体"/>
          <w:sz w:val="28"/>
          <w:szCs w:val="28"/>
          <w:u w:val="single"/>
          <w:lang w:val="en-US" w:eastAsia="zh-CN"/>
        </w:rPr>
      </w:pPr>
      <w:r>
        <w:rPr>
          <w:rFonts w:hint="eastAsia" w:ascii="宋体" w:hAnsi="宋体" w:eastAsia="宋体" w:cs="宋体"/>
          <w:sz w:val="28"/>
          <w:szCs w:val="28"/>
        </w:rPr>
        <w:t>合 同 编 号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p>
    <w:p w14:paraId="62688B29">
      <w:pPr>
        <w:spacing w:before="240" w:line="0" w:lineRule="atLeast"/>
        <w:ind w:firstLine="560" w:firstLineChars="200"/>
        <w:jc w:val="both"/>
        <w:rPr>
          <w:rFonts w:eastAsia="宋体"/>
          <w:b/>
          <w:bCs/>
          <w:sz w:val="44"/>
          <w:szCs w:val="44"/>
        </w:rPr>
      </w:pPr>
      <w:r>
        <w:rPr>
          <w:rFonts w:hint="eastAsia" w:ascii="宋体" w:hAnsi="宋体" w:eastAsia="宋体" w:cs="宋体"/>
          <w:sz w:val="28"/>
          <w:szCs w:val="28"/>
        </w:rPr>
        <w:t>签 订 地 点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4CFA3A5E">
      <w:pPr>
        <w:spacing w:before="240" w:line="0" w:lineRule="atLeast"/>
        <w:jc w:val="center"/>
        <w:rPr>
          <w:rFonts w:eastAsia="宋体"/>
          <w:b/>
          <w:bCs/>
          <w:sz w:val="44"/>
          <w:szCs w:val="44"/>
        </w:rPr>
      </w:pPr>
    </w:p>
    <w:p w14:paraId="7A6CC0A2">
      <w:pPr>
        <w:spacing w:before="240" w:line="0" w:lineRule="atLeast"/>
        <w:jc w:val="center"/>
        <w:rPr>
          <w:rFonts w:eastAsia="宋体"/>
          <w:b/>
          <w:bCs/>
          <w:sz w:val="44"/>
          <w:szCs w:val="44"/>
        </w:rPr>
      </w:pPr>
    </w:p>
    <w:p w14:paraId="529E4A9F">
      <w:pPr>
        <w:spacing w:before="240" w:line="0" w:lineRule="atLeast"/>
        <w:jc w:val="center"/>
        <w:rPr>
          <w:rFonts w:eastAsia="宋体"/>
          <w:b/>
          <w:bCs/>
          <w:sz w:val="44"/>
          <w:szCs w:val="44"/>
        </w:rPr>
      </w:pPr>
    </w:p>
    <w:p w14:paraId="26E1B800">
      <w:pPr>
        <w:spacing w:before="240" w:line="720" w:lineRule="auto"/>
        <w:jc w:val="both"/>
        <w:rPr>
          <w:rFonts w:hint="eastAsia" w:eastAsia="黑体"/>
          <w:sz w:val="32"/>
          <w:szCs w:val="32"/>
        </w:rPr>
      </w:pPr>
    </w:p>
    <w:p w14:paraId="160C4CE7">
      <w:pPr>
        <w:spacing w:before="240" w:line="720" w:lineRule="auto"/>
        <w:jc w:val="center"/>
        <w:rPr>
          <w:rFonts w:eastAsia="黑体"/>
          <w:sz w:val="32"/>
          <w:szCs w:val="32"/>
        </w:rPr>
      </w:pPr>
      <w:r>
        <w:rPr>
          <w:rFonts w:hint="eastAsia" w:eastAsia="黑体"/>
          <w:sz w:val="32"/>
          <w:szCs w:val="32"/>
        </w:rPr>
        <w:t>煤</w:t>
      </w:r>
      <w:r>
        <w:rPr>
          <w:rFonts w:hint="eastAsia" w:ascii="宋体" w:hAnsi="宋体" w:eastAsia="宋体" w:cs="宋体"/>
          <w:b/>
          <w:bCs/>
          <w:sz w:val="32"/>
          <w:szCs w:val="32"/>
        </w:rPr>
        <w:t>炭销售合同</w:t>
      </w:r>
    </w:p>
    <w:p w14:paraId="71A093F4">
      <w:pPr>
        <w:adjustRightInd w:val="0"/>
        <w:snapToGrid w:val="0"/>
        <w:spacing w:line="360" w:lineRule="auto"/>
        <w:ind w:firstLine="411" w:firstLineChars="196"/>
        <w:rPr>
          <w:rFonts w:ascii="宋体" w:hAnsi="宋体" w:eastAsia="宋体" w:cs="宋体"/>
          <w:sz w:val="24"/>
          <w:szCs w:val="24"/>
        </w:rPr>
      </w:pPr>
      <w:r>
        <w:rPr>
          <w:rFonts w:hint="eastAsia" w:ascii="宋体" w:hAnsi="宋体" w:eastAsia="宋体" w:cs="宋体"/>
        </w:rPr>
        <w:t>为明确卖买双方的权利与义务，卖买双方在平等互利、自愿一致的基础上，就煤炭销售事宜，依据《中华人民共和国民法典》，经友好协商，达成一致意见，共同签订本合同（以下简称“本合同”）。</w:t>
      </w:r>
    </w:p>
    <w:p w14:paraId="69E4A521">
      <w:pPr>
        <w:adjustRightInd w:val="0"/>
        <w:snapToGrid w:val="0"/>
        <w:spacing w:line="360" w:lineRule="auto"/>
        <w:rPr>
          <w:rFonts w:ascii="宋体" w:hAnsi="宋体" w:eastAsia="宋体" w:cs="宋体"/>
          <w:b/>
          <w:bCs/>
        </w:rPr>
      </w:pPr>
      <w:r>
        <w:rPr>
          <w:rFonts w:hint="eastAsia" w:ascii="宋体" w:hAnsi="宋体" w:eastAsia="宋体" w:cs="宋体"/>
          <w:b/>
          <w:bCs/>
        </w:rPr>
        <w:t>第一条 煤炭品质</w:t>
      </w:r>
    </w:p>
    <w:p w14:paraId="0F7E7D99">
      <w:pPr>
        <w:adjustRightInd w:val="0"/>
        <w:snapToGrid w:val="0"/>
        <w:spacing w:line="360" w:lineRule="auto"/>
        <w:rPr>
          <w:rFonts w:ascii="宋体" w:hAnsi="宋体" w:eastAsia="宋体" w:cs="宋体"/>
        </w:rPr>
      </w:pPr>
      <w:r>
        <w:rPr>
          <w:rFonts w:hint="eastAsia" w:ascii="宋体" w:hAnsi="宋体" w:eastAsia="宋体" w:cs="宋体"/>
        </w:rPr>
        <w:t>1.1煤炭品名：褐煤（基准热值：</w:t>
      </w:r>
      <w:r>
        <w:rPr>
          <w:rFonts w:hint="eastAsia" w:ascii="宋体" w:hAnsi="宋体" w:eastAsia="宋体" w:cs="宋体"/>
          <w:u w:val="single"/>
        </w:rPr>
        <w:t xml:space="preserve">  </w:t>
      </w:r>
      <w:r>
        <w:rPr>
          <w:rFonts w:hint="eastAsia" w:ascii="宋体" w:hAnsi="宋体" w:eastAsia="宋体" w:cs="宋体"/>
          <w:u w:val="single"/>
          <w:lang w:val="en-US" w:eastAsia="zh-CN"/>
        </w:rPr>
        <w:t>2900</w:t>
      </w:r>
      <w:r>
        <w:rPr>
          <w:rFonts w:hint="eastAsia" w:ascii="宋体" w:hAnsi="宋体" w:eastAsia="宋体" w:cs="宋体"/>
          <w:u w:val="single"/>
        </w:rPr>
        <w:t xml:space="preserve">  </w:t>
      </w:r>
      <w:r>
        <w:rPr>
          <w:rFonts w:hint="eastAsia" w:ascii="宋体" w:hAnsi="宋体" w:eastAsia="宋体" w:cs="宋体"/>
        </w:rPr>
        <w:t>千卡/千克）。</w:t>
      </w:r>
    </w:p>
    <w:p w14:paraId="13132AE0">
      <w:pPr>
        <w:adjustRightInd w:val="0"/>
        <w:snapToGrid w:val="0"/>
        <w:spacing w:line="360" w:lineRule="auto"/>
        <w:rPr>
          <w:rFonts w:ascii="宋体" w:hAnsi="宋体" w:eastAsia="宋体" w:cs="宋体"/>
        </w:rPr>
      </w:pPr>
      <w:r>
        <w:rPr>
          <w:rFonts w:hint="eastAsia" w:ascii="宋体" w:hAnsi="宋体" w:eastAsia="宋体" w:cs="宋体"/>
        </w:rPr>
        <w:t>1.2煤炭产地：华润五间房西一矿。</w:t>
      </w:r>
    </w:p>
    <w:p w14:paraId="0B61822E">
      <w:pPr>
        <w:adjustRightInd w:val="0"/>
        <w:snapToGrid w:val="0"/>
        <w:spacing w:line="360" w:lineRule="auto"/>
        <w:rPr>
          <w:rFonts w:ascii="宋体" w:hAnsi="宋体" w:eastAsia="宋体" w:cs="宋体"/>
        </w:rPr>
      </w:pPr>
      <w:r>
        <w:rPr>
          <w:rFonts w:hint="eastAsia" w:ascii="宋体" w:hAnsi="宋体" w:eastAsia="宋体" w:cs="宋体"/>
        </w:rPr>
        <w:t>1.3煤炭规格：原煤。</w:t>
      </w:r>
    </w:p>
    <w:p w14:paraId="77717F5C">
      <w:pPr>
        <w:adjustRightInd w:val="0"/>
        <w:snapToGrid w:val="0"/>
        <w:spacing w:line="360" w:lineRule="auto"/>
        <w:rPr>
          <w:rFonts w:ascii="宋体" w:hAnsi="宋体" w:eastAsia="宋体" w:cs="宋体"/>
          <w:b/>
          <w:bCs/>
        </w:rPr>
      </w:pPr>
      <w:r>
        <w:rPr>
          <w:rFonts w:hint="eastAsia" w:ascii="宋体" w:hAnsi="宋体" w:eastAsia="宋体" w:cs="宋体"/>
          <w:b/>
          <w:bCs/>
        </w:rPr>
        <w:t>第二条 数量及交货期限</w:t>
      </w:r>
    </w:p>
    <w:p w14:paraId="0A4960F0">
      <w:pPr>
        <w:adjustRightInd w:val="0"/>
        <w:snapToGrid w:val="0"/>
        <w:spacing w:line="360" w:lineRule="auto"/>
        <w:rPr>
          <w:rFonts w:ascii="宋体" w:hAnsi="宋体" w:eastAsia="宋体" w:cs="宋体"/>
        </w:rPr>
      </w:pPr>
      <w:r>
        <w:rPr>
          <w:rFonts w:hint="eastAsia" w:ascii="宋体" w:hAnsi="宋体" w:eastAsia="宋体" w:cs="宋体"/>
        </w:rPr>
        <w:t>2.1数量：</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rPr>
        <w:t>万吨。以实际交货数量为准。</w:t>
      </w:r>
    </w:p>
    <w:p w14:paraId="0819F877">
      <w:pPr>
        <w:adjustRightInd w:val="0"/>
        <w:snapToGrid w:val="0"/>
        <w:spacing w:line="360" w:lineRule="auto"/>
        <w:rPr>
          <w:rFonts w:hint="eastAsia" w:ascii="宋体" w:hAnsi="宋体" w:eastAsia="宋体" w:cs="宋体"/>
        </w:rPr>
      </w:pPr>
      <w:r>
        <w:rPr>
          <w:rFonts w:hint="eastAsia" w:ascii="宋体" w:hAnsi="宋体" w:eastAsia="宋体" w:cs="宋体"/>
        </w:rPr>
        <w:t>2.2交货期限：</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日至</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ascii="宋体" w:hAnsi="宋体" w:eastAsia="宋体" w:cs="宋体"/>
          <w:u w:val="single"/>
        </w:rPr>
        <w:t xml:space="preserve">   </w:t>
      </w:r>
      <w:r>
        <w:rPr>
          <w:rFonts w:hint="eastAsia" w:ascii="宋体" w:hAnsi="宋体" w:eastAsia="宋体" w:cs="宋体"/>
        </w:rPr>
        <w:t>日。</w:t>
      </w:r>
    </w:p>
    <w:p w14:paraId="73136DE6">
      <w:pPr>
        <w:adjustRightInd w:val="0"/>
        <w:snapToGrid w:val="0"/>
        <w:spacing w:line="360" w:lineRule="auto"/>
        <w:rPr>
          <w:rFonts w:hint="eastAsia" w:ascii="宋体" w:hAnsi="宋体" w:eastAsia="宋体" w:cs="宋体"/>
          <w:u w:val="none"/>
          <w:lang w:val="en-US" w:eastAsia="zh-CN"/>
        </w:rPr>
      </w:pPr>
      <w:r>
        <w:rPr>
          <w:rFonts w:hint="eastAsia" w:ascii="宋体" w:hAnsi="宋体" w:eastAsia="宋体" w:cs="宋体"/>
          <w:lang w:val="en-US" w:eastAsia="zh-CN"/>
        </w:rPr>
        <w:t>2.3兑现率：</w:t>
      </w:r>
      <w:r>
        <w:rPr>
          <w:rFonts w:hint="eastAsia" w:ascii="宋体" w:hAnsi="宋体" w:eastAsia="宋体" w:cs="宋体"/>
          <w:u w:val="single"/>
          <w:lang w:val="en-US" w:eastAsia="zh-CN"/>
        </w:rPr>
        <w:t>90%</w:t>
      </w:r>
      <w:r>
        <w:rPr>
          <w:rFonts w:hint="eastAsia" w:ascii="宋体" w:hAnsi="宋体" w:eastAsia="宋体" w:cs="宋体"/>
          <w:lang w:val="en-US" w:eastAsia="zh-CN"/>
        </w:rPr>
        <w:t>≤</w:t>
      </w:r>
      <w:r>
        <w:rPr>
          <w:rFonts w:hint="eastAsia" w:ascii="宋体" w:hAnsi="宋体" w:eastAsia="宋体" w:cs="宋体"/>
          <w:u w:val="none"/>
          <w:lang w:val="en-US" w:eastAsia="zh-CN"/>
        </w:rPr>
        <w:t>兑现率=实际发运量/合同数量≤</w:t>
      </w:r>
      <w:r>
        <w:rPr>
          <w:rFonts w:hint="eastAsia" w:ascii="宋体" w:hAnsi="宋体" w:eastAsia="宋体" w:cs="宋体"/>
          <w:u w:val="single"/>
          <w:lang w:val="en-US" w:eastAsia="zh-CN"/>
        </w:rPr>
        <w:t>110%</w:t>
      </w:r>
      <w:r>
        <w:rPr>
          <w:rFonts w:hint="eastAsia" w:ascii="宋体" w:hAnsi="宋体" w:eastAsia="宋体" w:cs="宋体"/>
          <w:u w:val="none"/>
          <w:lang w:val="en-US" w:eastAsia="zh-CN"/>
        </w:rPr>
        <w:t>。</w:t>
      </w:r>
    </w:p>
    <w:p w14:paraId="4FDC7B73">
      <w:pPr>
        <w:adjustRightInd w:val="0"/>
        <w:snapToGrid w:val="0"/>
        <w:spacing w:line="360" w:lineRule="auto"/>
        <w:rPr>
          <w:rFonts w:ascii="宋体" w:hAnsi="宋体" w:eastAsia="宋体" w:cs="宋体"/>
          <w:b/>
          <w:bCs/>
        </w:rPr>
      </w:pPr>
      <w:r>
        <w:rPr>
          <w:rFonts w:hint="eastAsia" w:ascii="宋体" w:hAnsi="宋体" w:eastAsia="宋体" w:cs="宋体"/>
          <w:b/>
          <w:bCs/>
        </w:rPr>
        <w:t>第三条 交货方式和运输</w:t>
      </w:r>
    </w:p>
    <w:p w14:paraId="3F6F7670">
      <w:pPr>
        <w:adjustRightInd w:val="0"/>
        <w:snapToGrid w:val="0"/>
        <w:spacing w:line="360" w:lineRule="auto"/>
        <w:rPr>
          <w:rFonts w:ascii="宋体" w:hAnsi="宋体" w:eastAsia="宋体" w:cs="宋体"/>
        </w:rPr>
      </w:pPr>
      <w:r>
        <w:rPr>
          <w:rFonts w:hint="eastAsia" w:ascii="宋体" w:hAnsi="宋体" w:eastAsia="宋体" w:cs="宋体"/>
        </w:rPr>
        <w:t>3.1交货方式：由买方自行组织运输车辆至卖方坑口或者其他卖方指定地点自提。</w:t>
      </w:r>
    </w:p>
    <w:p w14:paraId="45789E2F">
      <w:pPr>
        <w:adjustRightInd w:val="0"/>
        <w:snapToGrid w:val="0"/>
        <w:spacing w:line="360" w:lineRule="auto"/>
        <w:rPr>
          <w:rFonts w:ascii="宋体" w:hAnsi="宋体" w:eastAsia="宋体" w:cs="宋体"/>
        </w:rPr>
      </w:pPr>
      <w:r>
        <w:rPr>
          <w:rFonts w:hint="eastAsia" w:ascii="宋体" w:hAnsi="宋体" w:eastAsia="宋体" w:cs="宋体"/>
        </w:rPr>
        <w:t>3.2交 货 点：卖方指定地点交货。</w:t>
      </w:r>
    </w:p>
    <w:p w14:paraId="5E3B35BD">
      <w:pPr>
        <w:adjustRightInd w:val="0"/>
        <w:snapToGrid w:val="0"/>
        <w:spacing w:line="360" w:lineRule="auto"/>
        <w:rPr>
          <w:rFonts w:ascii="宋体" w:hAnsi="宋体" w:eastAsia="宋体" w:cs="宋体"/>
        </w:rPr>
      </w:pPr>
      <w:r>
        <w:rPr>
          <w:rFonts w:hint="eastAsia" w:ascii="宋体" w:hAnsi="宋体" w:eastAsia="宋体" w:cs="宋体"/>
        </w:rPr>
        <w:t>3.3装    载：卖方负责坑口装载。</w:t>
      </w:r>
    </w:p>
    <w:p w14:paraId="65E6AEDB">
      <w:pPr>
        <w:adjustRightInd w:val="0"/>
        <w:snapToGrid w:val="0"/>
        <w:spacing w:line="360" w:lineRule="auto"/>
        <w:rPr>
          <w:rFonts w:ascii="宋体" w:hAnsi="宋体" w:eastAsia="宋体" w:cs="宋体"/>
        </w:rPr>
      </w:pPr>
      <w:r>
        <w:rPr>
          <w:rFonts w:hint="eastAsia" w:ascii="宋体" w:hAnsi="宋体" w:eastAsia="宋体" w:cs="宋体"/>
        </w:rPr>
        <w:t>3.4运输方式：</w:t>
      </w:r>
      <w:r>
        <w:rPr>
          <w:rFonts w:hint="eastAsia" w:ascii="宋体" w:hAnsi="宋体" w:eastAsia="宋体" w:cs="宋体"/>
          <w:u w:val="single"/>
        </w:rPr>
        <w:t>汽车运输.其中汽车运输车辆由买方组织</w:t>
      </w:r>
      <w:r>
        <w:rPr>
          <w:rFonts w:hint="eastAsia" w:ascii="宋体" w:hAnsi="宋体" w:eastAsia="宋体" w:cs="宋体"/>
        </w:rPr>
        <w:t>。煤炭运杂费用、自煤炭装车后的货物风险、安全问题及意外事件由买方承担。</w:t>
      </w:r>
    </w:p>
    <w:p w14:paraId="50015FFA">
      <w:pPr>
        <w:adjustRightInd w:val="0"/>
        <w:snapToGrid w:val="0"/>
        <w:spacing w:line="360" w:lineRule="auto"/>
        <w:rPr>
          <w:rFonts w:ascii="宋体" w:hAnsi="宋体" w:eastAsia="宋体" w:cs="宋体"/>
        </w:rPr>
      </w:pPr>
      <w:r>
        <w:rPr>
          <w:rFonts w:hint="eastAsia" w:ascii="宋体" w:hAnsi="宋体" w:eastAsia="宋体" w:cs="宋体"/>
        </w:rPr>
        <w:t>3.5收货人名称：</w:t>
      </w:r>
      <w:r>
        <w:rPr>
          <w:rFonts w:hint="eastAsia" w:ascii="宋体" w:hAnsi="宋体" w:eastAsia="宋体" w:cs="宋体"/>
          <w:u w:val="single"/>
        </w:rPr>
        <w:t xml:space="preserve"> </w:t>
      </w:r>
      <w:r>
        <w:rPr>
          <w:rFonts w:ascii="宋体" w:hAnsi="宋体" w:eastAsia="宋体" w:cs="宋体"/>
          <w:u w:val="single"/>
        </w:rPr>
        <w:t xml:space="preserve">                                </w:t>
      </w:r>
    </w:p>
    <w:p w14:paraId="0B025456">
      <w:pPr>
        <w:adjustRightInd w:val="0"/>
        <w:snapToGrid w:val="0"/>
        <w:spacing w:line="360" w:lineRule="auto"/>
        <w:rPr>
          <w:rFonts w:ascii="宋体" w:hAnsi="宋体" w:eastAsia="宋体" w:cs="宋体"/>
          <w:b/>
          <w:bCs/>
        </w:rPr>
      </w:pPr>
      <w:r>
        <w:rPr>
          <w:rFonts w:hint="eastAsia" w:ascii="宋体" w:hAnsi="宋体" w:eastAsia="宋体" w:cs="宋体"/>
          <w:b/>
          <w:bCs/>
        </w:rPr>
        <w:t>第四条 价格（单位：人民币）</w:t>
      </w:r>
    </w:p>
    <w:p w14:paraId="779D7B9C">
      <w:pPr>
        <w:adjustRightInd w:val="0"/>
        <w:snapToGrid w:val="0"/>
        <w:spacing w:line="360" w:lineRule="auto"/>
        <w:rPr>
          <w:rFonts w:ascii="宋体" w:hAnsi="宋体" w:eastAsia="宋体" w:cs="宋体"/>
        </w:rPr>
      </w:pPr>
      <w:r>
        <w:rPr>
          <w:rFonts w:hint="eastAsia" w:ascii="宋体" w:hAnsi="宋体" w:eastAsia="宋体" w:cs="宋体"/>
        </w:rPr>
        <w:t>4.1基准单价:</w:t>
      </w:r>
      <w:r>
        <w:rPr>
          <w:rFonts w:hint="eastAsia" w:ascii="宋体" w:hAnsi="宋体" w:eastAsia="宋体" w:cs="宋体"/>
          <w:u w:val="single"/>
        </w:rPr>
        <w:t xml:space="preserve"> </w:t>
      </w:r>
      <w:r>
        <w:rPr>
          <w:rFonts w:ascii="宋体" w:hAnsi="宋体" w:eastAsia="宋体" w:cs="宋体"/>
          <w:u w:val="single"/>
        </w:rPr>
        <w:t xml:space="preserve">  </w:t>
      </w:r>
      <w:r>
        <w:rPr>
          <w:rFonts w:hint="eastAsia" w:ascii="宋体" w:hAnsi="宋体" w:eastAsia="宋体" w:cs="宋体"/>
          <w:u w:val="single"/>
        </w:rPr>
        <w:t xml:space="preserve"> </w:t>
      </w:r>
      <w:r>
        <w:rPr>
          <w:rFonts w:hint="eastAsia" w:ascii="宋体" w:hAnsi="宋体" w:eastAsia="宋体" w:cs="宋体"/>
        </w:rPr>
        <w:t>元/吨（含13%增值税）,在合同履行期间，如有价格调整，经双方事前协商一致后，以双方书面签订的《价格确认函》为准。</w:t>
      </w:r>
    </w:p>
    <w:p w14:paraId="7F7D700D">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rPr>
        <w:t>4.2</w:t>
      </w:r>
      <w:r>
        <w:rPr>
          <w:rFonts w:hint="eastAsia" w:ascii="宋体" w:hAnsi="宋体" w:eastAsia="宋体" w:cs="宋体"/>
          <w:sz w:val="21"/>
          <w:szCs w:val="21"/>
        </w:rPr>
        <w:t>结算单价以实际热值折算，即：结算单价=（</w:t>
      </w:r>
      <m:oMath>
        <m:f>
          <m:fPr>
            <m:ctrlPr>
              <w:rPr>
                <w:rFonts w:ascii="Cambria Math" w:hAnsi="Cambria Math" w:eastAsia="宋体" w:cs="宋体"/>
                <w:sz w:val="21"/>
                <w:szCs w:val="21"/>
              </w:rPr>
            </m:ctrlPr>
          </m:fPr>
          <m:num>
            <m:r>
              <m:rPr>
                <m:sty m:val="p"/>
              </m:rPr>
              <w:rPr>
                <w:rFonts w:hint="eastAsia" w:ascii="Cambria Math" w:hAnsi="Cambria Math" w:eastAsia="宋体" w:cs="宋体"/>
                <w:sz w:val="21"/>
                <w:szCs w:val="21"/>
              </w:rPr>
              <m:t>基准单价</m:t>
            </m:r>
            <m:ctrlPr>
              <w:rPr>
                <w:rFonts w:ascii="Cambria Math" w:hAnsi="Cambria Math" w:eastAsia="宋体" w:cs="宋体"/>
                <w:sz w:val="21"/>
                <w:szCs w:val="21"/>
              </w:rPr>
            </m:ctrlPr>
          </m:num>
          <m:den>
            <m:r>
              <m:rPr>
                <m:sty m:val="p"/>
              </m:rPr>
              <w:rPr>
                <w:rFonts w:hint="eastAsia" w:ascii="Cambria Math" w:hAnsi="Cambria Math" w:eastAsia="宋体" w:cs="宋体"/>
                <w:sz w:val="21"/>
                <w:szCs w:val="21"/>
              </w:rPr>
              <m:t>基准热值</m:t>
            </m:r>
            <m:ctrlPr>
              <w:rPr>
                <w:rFonts w:ascii="Cambria Math" w:hAnsi="Cambria Math" w:eastAsia="宋体" w:cs="宋体"/>
                <w:sz w:val="21"/>
                <w:szCs w:val="21"/>
              </w:rPr>
            </m:ctrlPr>
          </m:den>
        </m:f>
      </m:oMath>
      <w:r>
        <w:rPr>
          <w:rFonts w:hint="eastAsia" w:ascii="宋体" w:hAnsi="宋体" w:eastAsia="宋体" w:cs="宋体"/>
          <w:sz w:val="21"/>
          <w:szCs w:val="21"/>
        </w:rPr>
        <w:t>）×</w:t>
      </w:r>
      <w:r>
        <w:rPr>
          <w:rFonts w:hint="eastAsia" w:ascii="宋体" w:hAnsi="宋体" w:eastAsia="宋体" w:cs="宋体"/>
          <w:sz w:val="21"/>
          <w:szCs w:val="21"/>
          <w:lang w:val="en-US" w:eastAsia="zh-CN"/>
        </w:rPr>
        <w:t>结算</w:t>
      </w:r>
      <w:r>
        <w:rPr>
          <w:rFonts w:hint="eastAsia" w:ascii="宋体" w:hAnsi="宋体" w:eastAsia="宋体" w:cs="宋体"/>
          <w:sz w:val="21"/>
          <w:szCs w:val="21"/>
        </w:rPr>
        <w:t>热值</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结算热值为出卖人出具的对应收货方全月供应的煤炭的出矿热值的月加权平均热值。</w:t>
      </w:r>
    </w:p>
    <w:p w14:paraId="2098E03A">
      <w:pPr>
        <w:adjustRightInd w:val="0"/>
        <w:snapToGrid w:val="0"/>
        <w:spacing w:line="360" w:lineRule="auto"/>
        <w:ind w:firstLine="0" w:firstLineChars="0"/>
        <w:rPr>
          <w:rFonts w:hint="eastAsia" w:ascii="宋体" w:hAnsi="宋体" w:eastAsia="宋体" w:cs="宋体"/>
          <w:lang w:eastAsia="zh-CN"/>
        </w:rPr>
      </w:pPr>
    </w:p>
    <w:p w14:paraId="3D703AB8">
      <w:pPr>
        <w:adjustRightInd w:val="0"/>
        <w:snapToGrid w:val="0"/>
        <w:spacing w:line="360" w:lineRule="auto"/>
        <w:rPr>
          <w:rFonts w:ascii="宋体" w:hAnsi="宋体" w:eastAsia="宋体" w:cs="宋体"/>
          <w:b/>
          <w:bCs/>
        </w:rPr>
      </w:pPr>
      <w:r>
        <w:rPr>
          <w:rFonts w:hint="eastAsia" w:ascii="宋体" w:hAnsi="宋体" w:eastAsia="宋体" w:cs="宋体"/>
          <w:b/>
          <w:bCs/>
        </w:rPr>
        <w:t>第五条 质量检验和数量核定</w:t>
      </w:r>
    </w:p>
    <w:p w14:paraId="174C3B20">
      <w:pPr>
        <w:adjustRightInd w:val="0"/>
        <w:snapToGrid w:val="0"/>
        <w:spacing w:line="360" w:lineRule="auto"/>
        <w:rPr>
          <w:rFonts w:ascii="宋体" w:hAnsi="宋体" w:eastAsia="宋体" w:cs="宋体"/>
        </w:rPr>
      </w:pPr>
      <w:r>
        <w:rPr>
          <w:rFonts w:hint="eastAsia" w:ascii="宋体" w:hAnsi="宋体" w:eastAsia="宋体" w:cs="宋体"/>
        </w:rPr>
        <w:t>5.1质量检验：以</w:t>
      </w:r>
      <w:r>
        <w:rPr>
          <w:rFonts w:hint="eastAsia" w:ascii="宋体" w:hAnsi="宋体" w:eastAsia="宋体" w:cs="宋体"/>
          <w:u w:val="single"/>
        </w:rPr>
        <w:t>卖方出矿</w:t>
      </w:r>
      <w:r>
        <w:rPr>
          <w:rFonts w:hint="eastAsia" w:ascii="宋体" w:hAnsi="宋体" w:eastAsia="宋体" w:cs="宋体"/>
        </w:rPr>
        <w:t>化验数据为准，热值按</w:t>
      </w:r>
      <w:r>
        <w:rPr>
          <w:rFonts w:hint="eastAsia" w:ascii="宋体" w:hAnsi="宋体" w:eastAsia="宋体" w:cs="宋体"/>
          <w:lang w:val="en-US" w:eastAsia="zh-CN"/>
        </w:rPr>
        <w:t>合同期内</w:t>
      </w:r>
      <w:r>
        <w:rPr>
          <w:rFonts w:hint="eastAsia" w:ascii="宋体" w:hAnsi="宋体" w:eastAsia="宋体" w:cs="宋体"/>
        </w:rPr>
        <w:t>加权平均作为结算依据。</w:t>
      </w:r>
    </w:p>
    <w:p w14:paraId="1FD3A540">
      <w:pPr>
        <w:adjustRightInd w:val="0"/>
        <w:snapToGrid w:val="0"/>
        <w:spacing w:line="360" w:lineRule="auto"/>
        <w:rPr>
          <w:rFonts w:ascii="宋体" w:hAnsi="宋体" w:eastAsia="宋体" w:cs="宋体"/>
        </w:rPr>
      </w:pPr>
      <w:r>
        <w:rPr>
          <w:rFonts w:hint="eastAsia" w:ascii="宋体" w:hAnsi="宋体" w:eastAsia="宋体" w:cs="宋体"/>
        </w:rPr>
        <w:t>5.1.1 如买方对煤炭质量检验结果有异议，应在收到卖方化验结果后3小时内向卖方提出复议申请，经双方协商同意后提取备卖方查样品送交至双方书面认可的独立检验机构进行复检。当第三方化验结果与卖方检验结果热值偏差超出200大卡或硫分化验精密度超出国标规定的范围时，以第三方化验结果为准进行结算。第三方化验结果与卖方检验结果的热值、硫分等指标超出国标规定范围时，复检费用由卖方承担；第三方化验结果与卖方检验结果热值偏差未超出200大卡或硫分在国标规定范围内时，以卖方化验结果为准，复检费用由买方承担。</w:t>
      </w:r>
    </w:p>
    <w:p w14:paraId="34EBA069">
      <w:pPr>
        <w:adjustRightInd w:val="0"/>
        <w:snapToGrid w:val="0"/>
        <w:spacing w:line="360" w:lineRule="auto"/>
        <w:rPr>
          <w:rFonts w:ascii="宋体" w:hAnsi="宋体" w:eastAsia="宋体" w:cs="宋体"/>
        </w:rPr>
      </w:pPr>
      <w:r>
        <w:rPr>
          <w:rFonts w:hint="eastAsia" w:ascii="宋体" w:hAnsi="宋体" w:eastAsia="宋体" w:cs="宋体"/>
        </w:rPr>
        <w:t>5.1.2 如买方在前款约定的期限内未对卖方质量检验结果提出异议，则视为认可卖方检验结果并以此作为最终结算依据。</w:t>
      </w:r>
    </w:p>
    <w:p w14:paraId="27072ED8">
      <w:pPr>
        <w:adjustRightInd w:val="0"/>
        <w:snapToGrid w:val="0"/>
        <w:spacing w:line="360" w:lineRule="auto"/>
        <w:rPr>
          <w:rFonts w:ascii="宋体" w:hAnsi="宋体" w:eastAsia="宋体" w:cs="宋体"/>
        </w:rPr>
      </w:pPr>
      <w:r>
        <w:rPr>
          <w:rFonts w:hint="eastAsia" w:ascii="宋体" w:hAnsi="宋体" w:eastAsia="宋体" w:cs="宋体"/>
        </w:rPr>
        <w:t>5.1.3 买方联系人姓名：</w:t>
      </w:r>
      <w:r>
        <w:rPr>
          <w:rFonts w:hint="eastAsia" w:ascii="宋体" w:hAnsi="宋体" w:eastAsia="宋体" w:cs="宋体"/>
          <w:u w:val="single"/>
        </w:rPr>
        <w:t xml:space="preserve">   </w:t>
      </w:r>
      <w:r>
        <w:rPr>
          <w:rFonts w:ascii="宋体" w:hAnsi="宋体" w:eastAsia="宋体" w:cs="宋体"/>
          <w:u w:val="single"/>
        </w:rPr>
        <w:t xml:space="preserve"> </w:t>
      </w:r>
      <w:r>
        <w:rPr>
          <w:rFonts w:hint="eastAsia" w:ascii="宋体" w:hAnsi="宋体" w:eastAsia="宋体" w:cs="宋体"/>
          <w:u w:val="single"/>
        </w:rPr>
        <w:t xml:space="preserve"> </w:t>
      </w:r>
      <w:r>
        <w:rPr>
          <w:rFonts w:ascii="宋体" w:hAnsi="宋体" w:eastAsia="宋体" w:cs="宋体"/>
          <w:u w:val="single"/>
        </w:rPr>
        <w:t xml:space="preserve">      </w:t>
      </w:r>
      <w:r>
        <w:rPr>
          <w:rFonts w:hint="eastAsia" w:ascii="宋体" w:hAnsi="宋体" w:eastAsia="宋体" w:cs="宋体"/>
        </w:rPr>
        <w:t xml:space="preserve"> 身份证号：</w:t>
      </w:r>
      <w:r>
        <w:rPr>
          <w:rFonts w:ascii="宋体" w:hAnsi="宋体" w:eastAsia="宋体" w:cs="宋体"/>
          <w:u w:val="single"/>
        </w:rPr>
        <w:t xml:space="preserve">                 </w:t>
      </w:r>
      <w:r>
        <w:rPr>
          <w:rFonts w:hint="eastAsia" w:ascii="宋体" w:hAnsi="宋体" w:eastAsia="宋体" w:cs="宋体"/>
          <w:u w:val="single"/>
        </w:rPr>
        <w:t xml:space="preserve">   </w:t>
      </w:r>
      <w:r>
        <w:rPr>
          <w:rFonts w:hint="eastAsia" w:ascii="宋体" w:hAnsi="宋体" w:eastAsia="宋体" w:cs="宋体"/>
        </w:rPr>
        <w:t xml:space="preserve">       </w:t>
      </w:r>
    </w:p>
    <w:p w14:paraId="08235F1D">
      <w:pPr>
        <w:adjustRightInd w:val="0"/>
        <w:snapToGrid w:val="0"/>
        <w:spacing w:line="360" w:lineRule="auto"/>
        <w:rPr>
          <w:rFonts w:ascii="宋体" w:hAnsi="宋体" w:eastAsia="宋体" w:cs="宋体"/>
        </w:rPr>
      </w:pPr>
      <w:r>
        <w:rPr>
          <w:rFonts w:hint="eastAsia" w:ascii="宋体" w:hAnsi="宋体" w:eastAsia="宋体" w:cs="宋体"/>
        </w:rPr>
        <w:t>联系电话：</w:t>
      </w:r>
      <w:r>
        <w:rPr>
          <w:rFonts w:hint="eastAsia" w:ascii="宋体" w:hAnsi="宋体" w:eastAsia="宋体" w:cs="宋体"/>
          <w:u w:val="single"/>
        </w:rPr>
        <w:t xml:space="preserve"> </w:t>
      </w:r>
      <w:r>
        <w:rPr>
          <w:rFonts w:ascii="宋体" w:hAnsi="宋体" w:eastAsia="宋体" w:cs="宋体"/>
          <w:u w:val="single"/>
        </w:rPr>
        <w:t xml:space="preserve">        </w:t>
      </w:r>
      <w:r>
        <w:rPr>
          <w:rFonts w:hint="eastAsia" w:ascii="宋体" w:hAnsi="宋体" w:eastAsia="宋体" w:cs="宋体"/>
          <w:u w:val="single"/>
        </w:rPr>
        <w:t xml:space="preserve"> </w:t>
      </w:r>
      <w:r>
        <w:rPr>
          <w:rFonts w:hint="eastAsia" w:ascii="宋体" w:hAnsi="宋体" w:eastAsia="宋体" w:cs="宋体"/>
        </w:rPr>
        <w:t>微信号/邮箱：</w:t>
      </w:r>
      <w:r>
        <w:rPr>
          <w:rFonts w:hint="eastAsia" w:ascii="宋体" w:hAnsi="宋体" w:eastAsia="宋体" w:cs="宋体"/>
          <w:u w:val="single"/>
        </w:rPr>
        <w:t xml:space="preserve"> </w:t>
      </w:r>
      <w:r>
        <w:rPr>
          <w:rFonts w:ascii="宋体" w:hAnsi="宋体" w:eastAsia="宋体" w:cs="宋体"/>
          <w:u w:val="single"/>
        </w:rPr>
        <w:t xml:space="preserve">       </w:t>
      </w:r>
      <w:r>
        <w:rPr>
          <w:rFonts w:hint="eastAsia" w:ascii="宋体" w:hAnsi="宋体" w:eastAsia="宋体" w:cs="宋体"/>
          <w:u w:val="single"/>
        </w:rPr>
        <w:t xml:space="preserve"> </w:t>
      </w:r>
      <w:r>
        <w:rPr>
          <w:rFonts w:hint="eastAsia" w:ascii="宋体" w:hAnsi="宋体" w:eastAsia="宋体" w:cs="宋体"/>
        </w:rPr>
        <w:t>，卖方相关通知及数据、结算等事宜将通过邮件方式发送此邮箱或业务联系人微信或手机短信，一经发送成功，均视为已经送达。</w:t>
      </w:r>
    </w:p>
    <w:p w14:paraId="7501741E">
      <w:pPr>
        <w:adjustRightInd w:val="0"/>
        <w:snapToGrid w:val="0"/>
        <w:spacing w:line="360" w:lineRule="auto"/>
        <w:rPr>
          <w:rFonts w:ascii="宋体" w:hAnsi="宋体" w:eastAsia="宋体" w:cs="宋体"/>
        </w:rPr>
      </w:pPr>
      <w:r>
        <w:rPr>
          <w:rFonts w:hint="eastAsia" w:ascii="宋体" w:hAnsi="宋体" w:eastAsia="宋体" w:cs="宋体"/>
        </w:rPr>
        <w:t>5.2数量核定：以卖方计量数量作为结算依据。</w:t>
      </w:r>
    </w:p>
    <w:p w14:paraId="2E4BAC10">
      <w:pPr>
        <w:adjustRightInd w:val="0"/>
        <w:snapToGrid w:val="0"/>
        <w:spacing w:line="360" w:lineRule="auto"/>
        <w:rPr>
          <w:rFonts w:ascii="宋体" w:hAnsi="宋体" w:eastAsia="宋体" w:cs="宋体"/>
          <w:b/>
          <w:bCs/>
        </w:rPr>
      </w:pPr>
      <w:r>
        <w:rPr>
          <w:rFonts w:hint="eastAsia" w:ascii="宋体" w:hAnsi="宋体" w:eastAsia="宋体" w:cs="宋体"/>
          <w:b/>
          <w:bCs/>
        </w:rPr>
        <w:t>第六条 结算与付款</w:t>
      </w:r>
    </w:p>
    <w:p w14:paraId="0A00F924">
      <w:pPr>
        <w:adjustRightInd w:val="0"/>
        <w:snapToGrid w:val="0"/>
        <w:spacing w:line="360" w:lineRule="auto"/>
        <w:rPr>
          <w:rFonts w:ascii="宋体" w:hAnsi="宋体" w:eastAsia="宋体" w:cs="宋体"/>
        </w:rPr>
      </w:pPr>
      <w:r>
        <w:rPr>
          <w:rFonts w:hint="eastAsia" w:ascii="宋体" w:hAnsi="宋体" w:eastAsia="宋体" w:cs="宋体"/>
        </w:rPr>
        <w:t>6.1本合同执行预付煤款方式，预付煤款为银行电汇，买方根据卖方出具的缴款通知单在规定时间内缴纳预付款，超出付款时间视同买方违约。</w:t>
      </w:r>
    </w:p>
    <w:p w14:paraId="347FB21B">
      <w:pPr>
        <w:adjustRightInd w:val="0"/>
        <w:snapToGrid w:val="0"/>
        <w:spacing w:line="360" w:lineRule="auto"/>
        <w:rPr>
          <w:rFonts w:ascii="宋体" w:hAnsi="宋体" w:eastAsia="宋体" w:cs="宋体"/>
        </w:rPr>
      </w:pPr>
      <w:r>
        <w:rPr>
          <w:rFonts w:hint="eastAsia" w:ascii="宋体" w:hAnsi="宋体" w:eastAsia="宋体" w:cs="宋体"/>
        </w:rPr>
        <w:t>6.2卖方根据（生产单位及己方的）生产情况和买方预付款金额，安排调运计划。</w:t>
      </w:r>
    </w:p>
    <w:p w14:paraId="41E37E28">
      <w:pPr>
        <w:adjustRightInd w:val="0"/>
        <w:snapToGrid w:val="0"/>
        <w:spacing w:line="360" w:lineRule="auto"/>
        <w:rPr>
          <w:rFonts w:ascii="宋体" w:hAnsi="宋体" w:eastAsia="宋体" w:cs="宋体"/>
        </w:rPr>
      </w:pPr>
      <w:r>
        <w:rPr>
          <w:rFonts w:hint="eastAsia" w:ascii="宋体" w:hAnsi="宋体" w:eastAsia="宋体" w:cs="宋体"/>
        </w:rPr>
        <w:t>6.3卖方于发货次月15日前出具上月合同执行数量的《结算单》，买方须在接到《结算单》后三个工作日内确认或者提出异议，否则视同同意卖方《结算单》及相关文件内容。卖方在月底前根据确认的结算单开具增值税发票进行货款结算。</w:t>
      </w:r>
    </w:p>
    <w:p w14:paraId="41AA1E29">
      <w:pPr>
        <w:adjustRightInd w:val="0"/>
        <w:snapToGrid w:val="0"/>
        <w:spacing w:line="360" w:lineRule="auto"/>
        <w:rPr>
          <w:rFonts w:ascii="宋体" w:hAnsi="宋体" w:eastAsia="宋体" w:cs="宋体"/>
        </w:rPr>
      </w:pPr>
      <w:r>
        <w:rPr>
          <w:rFonts w:hint="eastAsia" w:ascii="宋体" w:hAnsi="宋体" w:eastAsia="宋体" w:cs="宋体"/>
        </w:rPr>
        <w:t>6.3如买方未按约定预付煤款或预付煤款不足，卖方有权单方面停止供应且不承担任何违约责任。</w:t>
      </w:r>
    </w:p>
    <w:p w14:paraId="4DA7932C">
      <w:pPr>
        <w:adjustRightInd w:val="0"/>
        <w:snapToGrid w:val="0"/>
        <w:spacing w:line="360" w:lineRule="auto"/>
        <w:rPr>
          <w:rFonts w:ascii="宋体" w:hAnsi="宋体" w:eastAsia="宋体" w:cs="宋体"/>
          <w:b/>
          <w:bCs/>
        </w:rPr>
      </w:pPr>
      <w:r>
        <w:rPr>
          <w:rFonts w:hint="eastAsia" w:ascii="宋体" w:hAnsi="宋体" w:eastAsia="宋体" w:cs="宋体"/>
          <w:b/>
          <w:bCs/>
        </w:rPr>
        <w:t xml:space="preserve">第七条 违约责任  </w:t>
      </w:r>
    </w:p>
    <w:p w14:paraId="4F609D07">
      <w:pPr>
        <w:adjustRightInd w:val="0"/>
        <w:snapToGrid w:val="0"/>
        <w:spacing w:line="360" w:lineRule="auto"/>
        <w:rPr>
          <w:rFonts w:ascii="宋体" w:hAnsi="宋体" w:eastAsia="宋体" w:cs="宋体"/>
        </w:rPr>
      </w:pPr>
      <w:r>
        <w:rPr>
          <w:rFonts w:hint="eastAsia" w:ascii="宋体" w:hAnsi="宋体" w:eastAsia="宋体" w:cs="宋体"/>
        </w:rPr>
        <w:t>7.1卖买双方应严格履行本合同。任何一方不履行本合同义务或履行本合同义务不符合本合同约定的，应按《中华人民共和国民法典》的规定承担继续履行、采取补救措施和赔偿守约方损失等违约责任。</w:t>
      </w:r>
    </w:p>
    <w:p w14:paraId="027AEA13">
      <w:pPr>
        <w:adjustRightInd w:val="0"/>
        <w:snapToGrid w:val="0"/>
        <w:spacing w:line="360" w:lineRule="auto"/>
        <w:rPr>
          <w:rFonts w:ascii="宋体" w:hAnsi="宋体" w:eastAsia="宋体" w:cs="宋体"/>
        </w:rPr>
      </w:pPr>
      <w:r>
        <w:rPr>
          <w:rFonts w:hint="eastAsia" w:ascii="宋体" w:hAnsi="宋体" w:eastAsia="宋体" w:cs="宋体"/>
        </w:rPr>
        <w:t>7.2买方自提必须遵守和服从卖方矿方工作人员的现场安排，否则卖方有权单方面终止合同，由此造成的经济损失由买方承担。</w:t>
      </w:r>
    </w:p>
    <w:p w14:paraId="03BA70BD">
      <w:pPr>
        <w:adjustRightInd w:val="0"/>
        <w:snapToGrid w:val="0"/>
        <w:spacing w:line="360" w:lineRule="auto"/>
        <w:rPr>
          <w:rFonts w:ascii="宋体" w:hAnsi="宋体" w:eastAsia="宋体" w:cs="宋体"/>
        </w:rPr>
      </w:pPr>
      <w:r>
        <w:rPr>
          <w:rFonts w:hint="eastAsia" w:ascii="宋体" w:hAnsi="宋体" w:eastAsia="宋体" w:cs="宋体"/>
        </w:rPr>
        <w:t>7.3买方应承担对雇佣或派遣到矿方货场工作人员的现场管理与安全监督管理责任，如在煤炭装载、运输过程中，因买方人员（包括买方工作人员及雇佣装载、运输人员）出现提供劳务者致害或致他人受害以及其他经济损失等相关纠纷，由买方承担全部法律责任，并承担因此给卖方造成的直接和间接损失，与卖方无关。</w:t>
      </w:r>
    </w:p>
    <w:p w14:paraId="24112CD7">
      <w:pPr>
        <w:adjustRightInd w:val="0"/>
        <w:snapToGrid w:val="0"/>
        <w:spacing w:line="360" w:lineRule="auto"/>
        <w:rPr>
          <w:rFonts w:ascii="宋体" w:hAnsi="宋体" w:eastAsia="宋体" w:cs="宋体"/>
        </w:rPr>
      </w:pPr>
      <w:r>
        <w:rPr>
          <w:rFonts w:hint="eastAsia" w:ascii="宋体" w:hAnsi="宋体" w:eastAsia="宋体" w:cs="宋体"/>
        </w:rPr>
        <w:t>7.4买方在提货现场进行作业的过程中，应严格遵守矿区的各项安全规章制度，如因违反规章制度导致发生安全事故的，由买方承担所有责任和损失。</w:t>
      </w:r>
    </w:p>
    <w:p w14:paraId="67F1D36B">
      <w:pPr>
        <w:adjustRightInd w:val="0"/>
        <w:snapToGrid w:val="0"/>
        <w:spacing w:line="360" w:lineRule="auto"/>
        <w:rPr>
          <w:rFonts w:ascii="宋体" w:hAnsi="宋体" w:eastAsia="宋体" w:cs="宋体"/>
        </w:rPr>
      </w:pPr>
      <w:r>
        <w:rPr>
          <w:rFonts w:hint="eastAsia" w:ascii="宋体" w:hAnsi="宋体" w:eastAsia="宋体" w:cs="宋体"/>
        </w:rPr>
        <w:t>7.5买方应对雇佣或派遣人员使用的装载、运输设备，按照国家有关规定进行投保。</w:t>
      </w:r>
    </w:p>
    <w:p w14:paraId="56E7C71B">
      <w:pPr>
        <w:adjustRightInd w:val="0"/>
        <w:snapToGrid w:val="0"/>
        <w:spacing w:line="360" w:lineRule="auto"/>
        <w:rPr>
          <w:rFonts w:ascii="宋体" w:hAnsi="宋体" w:eastAsia="宋体" w:cs="宋体"/>
        </w:rPr>
      </w:pPr>
      <w:r>
        <w:rPr>
          <w:rFonts w:hint="eastAsia" w:ascii="宋体" w:hAnsi="宋体" w:eastAsia="宋体" w:cs="宋体"/>
        </w:rPr>
        <w:t>7.6因行业政策调整、突发事件以及非卖方因素等外界因素引起的暂时性停产，致使合同无法按约定履行时，买方应同意卖方不承担任何责任。待上述因素消除后，卖方应按约定履行本合同。</w:t>
      </w:r>
    </w:p>
    <w:p w14:paraId="3E9C2124">
      <w:pPr>
        <w:adjustRightInd w:val="0"/>
        <w:snapToGrid w:val="0"/>
        <w:spacing w:line="360" w:lineRule="auto"/>
        <w:rPr>
          <w:rFonts w:ascii="宋体" w:hAnsi="宋体" w:eastAsia="宋体" w:cs="宋体"/>
        </w:rPr>
      </w:pPr>
      <w:r>
        <w:rPr>
          <w:rFonts w:hint="eastAsia" w:ascii="宋体" w:hAnsi="宋体" w:eastAsia="宋体" w:cs="宋体"/>
          <w:bCs/>
        </w:rPr>
        <w:t>7.7履约保证金：买方须在合同签订前，按照10元/吨（即履约保证金=合同总量* 10 元/吨）足额缴纳履约保证金到卖方指定账户</w:t>
      </w:r>
      <w:r>
        <w:rPr>
          <w:rFonts w:hint="eastAsia" w:ascii="宋体" w:hAnsi="宋体" w:eastAsia="宋体" w:cs="宋体"/>
          <w:bCs/>
          <w:lang w:eastAsia="zh-CN"/>
        </w:rPr>
        <w:t>，</w:t>
      </w:r>
      <w:r>
        <w:rPr>
          <w:rFonts w:hint="eastAsia" w:ascii="宋体" w:hAnsi="宋体" w:eastAsia="宋体" w:cs="宋体"/>
          <w:bCs/>
          <w:lang w:val="en-US" w:eastAsia="zh-CN"/>
        </w:rPr>
        <w:t>最高不超过50万元</w:t>
      </w:r>
      <w:r>
        <w:rPr>
          <w:rFonts w:hint="eastAsia" w:ascii="宋体" w:hAnsi="宋体" w:eastAsia="宋体" w:cs="宋体"/>
          <w:bCs/>
          <w:highlight w:val="none"/>
        </w:rPr>
        <w:t>。</w:t>
      </w:r>
    </w:p>
    <w:p w14:paraId="218F4FC4">
      <w:pPr>
        <w:adjustRightInd w:val="0"/>
        <w:snapToGrid w:val="0"/>
        <w:spacing w:line="360" w:lineRule="auto"/>
        <w:rPr>
          <w:rFonts w:ascii="宋体" w:hAnsi="宋体" w:eastAsia="宋体" w:cs="宋体"/>
          <w:bCs/>
        </w:rPr>
      </w:pPr>
      <w:r>
        <w:rPr>
          <w:rFonts w:hint="eastAsia" w:ascii="宋体" w:hAnsi="宋体" w:eastAsia="宋体" w:cs="宋体"/>
          <w:bCs/>
        </w:rPr>
        <w:t>7.7.1因为卖方原因导致兑现量不足合同约定量的，互不追究双方责任；</w:t>
      </w:r>
    </w:p>
    <w:p w14:paraId="1AE97C3A">
      <w:pPr>
        <w:adjustRightInd w:val="0"/>
        <w:snapToGrid w:val="0"/>
        <w:spacing w:line="360" w:lineRule="auto"/>
        <w:rPr>
          <w:rFonts w:hint="default" w:ascii="宋体" w:hAnsi="宋体" w:eastAsia="宋体" w:cs="宋体"/>
          <w:lang w:val="en-US" w:eastAsia="zh-CN"/>
        </w:rPr>
      </w:pPr>
      <w:r>
        <w:rPr>
          <w:rFonts w:hint="eastAsia" w:ascii="宋体" w:hAnsi="宋体" w:eastAsia="宋体" w:cs="宋体"/>
        </w:rPr>
        <w:t>7.7.</w:t>
      </w:r>
      <w:r>
        <w:rPr>
          <w:rFonts w:hint="eastAsia" w:ascii="宋体" w:hAnsi="宋体" w:eastAsia="宋体" w:cs="宋体"/>
          <w:lang w:val="en-US" w:eastAsia="zh-CN"/>
        </w:rPr>
        <w:t>2若总合同量等于1万吨，</w:t>
      </w:r>
      <w:r>
        <w:rPr>
          <w:rFonts w:hint="eastAsia" w:ascii="宋体" w:hAnsi="宋体" w:eastAsia="宋体" w:cs="宋体"/>
        </w:rPr>
        <w:t>因为买方原因导致兑现量不足合同约定总量</w:t>
      </w:r>
      <w:r>
        <w:rPr>
          <w:rFonts w:hint="eastAsia" w:ascii="宋体" w:hAnsi="宋体" w:eastAsia="宋体" w:cs="宋体"/>
          <w:lang w:val="en-US" w:eastAsia="zh-CN"/>
        </w:rPr>
        <w:t>9</w:t>
      </w:r>
      <w:r>
        <w:rPr>
          <w:rFonts w:hint="eastAsia" w:ascii="宋体" w:hAnsi="宋体" w:eastAsia="宋体" w:cs="宋体"/>
        </w:rPr>
        <w:t>0%的，视同买方违约，卖方有权按照合同总量扣除买方全额保证金。</w:t>
      </w:r>
      <w:r>
        <w:rPr>
          <w:rFonts w:hint="eastAsia" w:ascii="宋体" w:hAnsi="宋体" w:eastAsia="宋体" w:cs="宋体"/>
        </w:rPr>
        <w:br w:type="textWrapping"/>
      </w:r>
      <w:r>
        <w:rPr>
          <w:rFonts w:hint="eastAsia" w:ascii="宋体" w:hAnsi="宋体" w:eastAsia="宋体" w:cs="宋体"/>
          <w:lang w:val="en-US" w:eastAsia="zh-CN"/>
        </w:rPr>
        <w:t xml:space="preserve">     若总合同量大于1万吨，</w:t>
      </w:r>
      <w:r>
        <w:rPr>
          <w:rFonts w:hint="eastAsia" w:ascii="宋体" w:hAnsi="宋体" w:eastAsia="宋体" w:cs="宋体"/>
        </w:rPr>
        <w:t>因为买方原因导致</w:t>
      </w:r>
      <w:r>
        <w:rPr>
          <w:rFonts w:hint="eastAsia" w:ascii="宋体" w:hAnsi="宋体" w:eastAsia="宋体" w:cs="宋体"/>
          <w:lang w:val="en-US" w:eastAsia="zh-CN"/>
        </w:rPr>
        <w:t>2026年3月31日</w:t>
      </w:r>
      <w:r>
        <w:rPr>
          <w:rFonts w:hint="eastAsia" w:ascii="宋体" w:hAnsi="宋体" w:eastAsia="宋体" w:cs="宋体"/>
        </w:rPr>
        <w:t>兑现量不足合同约定总量</w:t>
      </w:r>
      <w:r>
        <w:rPr>
          <w:rFonts w:hint="eastAsia" w:ascii="宋体" w:hAnsi="宋体" w:eastAsia="宋体" w:cs="宋体"/>
          <w:lang w:val="en-US" w:eastAsia="zh-CN"/>
        </w:rPr>
        <w:t>9</w:t>
      </w:r>
      <w:r>
        <w:rPr>
          <w:rFonts w:hint="eastAsia" w:ascii="宋体" w:hAnsi="宋体" w:eastAsia="宋体" w:cs="宋体"/>
        </w:rPr>
        <w:t>0%的，视同买方违约，卖方有权按照合同总量扣除买方全额保证金</w:t>
      </w:r>
      <w:r>
        <w:rPr>
          <w:rFonts w:hint="eastAsia" w:ascii="宋体" w:hAnsi="宋体" w:eastAsia="宋体" w:cs="宋体"/>
          <w:lang w:eastAsia="zh-CN"/>
        </w:rPr>
        <w:t>。</w:t>
      </w:r>
      <w:r>
        <w:rPr>
          <w:rFonts w:hint="eastAsia" w:ascii="宋体" w:hAnsi="宋体" w:eastAsia="宋体" w:cs="宋体"/>
          <w:lang w:val="en-US" w:eastAsia="zh-CN"/>
        </w:rPr>
        <w:t>同时截至交货期限日，</w:t>
      </w:r>
      <w:bookmarkStart w:id="1" w:name="_GoBack"/>
      <w:bookmarkEnd w:id="1"/>
      <w:r>
        <w:rPr>
          <w:rFonts w:hint="eastAsia" w:ascii="宋体" w:hAnsi="宋体" w:eastAsia="宋体" w:cs="宋体"/>
        </w:rPr>
        <w:t>兑现量不足合同约定总量</w:t>
      </w:r>
      <w:r>
        <w:rPr>
          <w:rFonts w:hint="eastAsia" w:ascii="宋体" w:hAnsi="宋体" w:eastAsia="宋体" w:cs="宋体"/>
          <w:lang w:val="en-US" w:eastAsia="zh-CN"/>
        </w:rPr>
        <w:t>100</w:t>
      </w:r>
      <w:r>
        <w:rPr>
          <w:rFonts w:hint="eastAsia" w:ascii="宋体" w:hAnsi="宋体" w:eastAsia="宋体" w:cs="宋体"/>
        </w:rPr>
        <w:t>%的，</w:t>
      </w:r>
      <w:r>
        <w:rPr>
          <w:rFonts w:hint="eastAsia" w:ascii="宋体" w:hAnsi="宋体" w:eastAsia="宋体" w:cs="宋体"/>
          <w:lang w:val="en-US" w:eastAsia="zh-CN"/>
        </w:rPr>
        <w:t>同样</w:t>
      </w:r>
      <w:r>
        <w:rPr>
          <w:rFonts w:hint="eastAsia" w:ascii="宋体" w:hAnsi="宋体" w:eastAsia="宋体" w:cs="宋体"/>
        </w:rPr>
        <w:t>视同买方违约，卖方有权按照合同总量扣除买方全额保证金</w:t>
      </w:r>
    </w:p>
    <w:p w14:paraId="057CD235">
      <w:pPr>
        <w:adjustRightInd w:val="0"/>
        <w:snapToGrid w:val="0"/>
        <w:spacing w:line="360" w:lineRule="auto"/>
        <w:rPr>
          <w:rFonts w:ascii="宋体" w:hAnsi="宋体" w:eastAsia="宋体" w:cs="宋体"/>
        </w:rPr>
      </w:pPr>
      <w:r>
        <w:rPr>
          <w:rFonts w:ascii="宋体" w:hAnsi="宋体" w:eastAsia="宋体" w:cs="宋体"/>
        </w:rPr>
        <w:t>7.7.</w:t>
      </w:r>
      <w:r>
        <w:rPr>
          <w:rFonts w:hint="eastAsia" w:ascii="宋体" w:hAnsi="宋体" w:eastAsia="宋体" w:cs="宋体"/>
          <w:lang w:val="en-US" w:eastAsia="zh-CN"/>
        </w:rPr>
        <w:t>3</w:t>
      </w:r>
      <w:r>
        <w:rPr>
          <w:rFonts w:ascii="宋体" w:hAnsi="宋体" w:eastAsia="宋体" w:cs="宋体"/>
        </w:rPr>
        <w:t>履约保证金的退还:</w:t>
      </w:r>
    </w:p>
    <w:p w14:paraId="1FF810EE">
      <w:pPr>
        <w:adjustRightInd w:val="0"/>
        <w:snapToGrid w:val="0"/>
        <w:spacing w:line="360" w:lineRule="auto"/>
        <w:rPr>
          <w:rFonts w:ascii="宋体" w:hAnsi="宋体" w:eastAsia="宋体" w:cs="宋体"/>
        </w:rPr>
      </w:pPr>
      <w:r>
        <w:rPr>
          <w:rFonts w:hint="eastAsia" w:ascii="宋体" w:hAnsi="宋体" w:eastAsia="宋体" w:cs="宋体"/>
        </w:rPr>
        <w:t>如合同履行过程中未发生应扣除履约保证金事项的，卖方应在结算完成后</w:t>
      </w:r>
      <w:r>
        <w:rPr>
          <w:rFonts w:ascii="宋体" w:hAnsi="宋体" w:eastAsia="宋体" w:cs="宋体"/>
        </w:rPr>
        <w:t>15个工作日内退还相应的履约保证金。</w:t>
      </w:r>
    </w:p>
    <w:p w14:paraId="4692C3F2">
      <w:pPr>
        <w:adjustRightInd w:val="0"/>
        <w:snapToGrid w:val="0"/>
        <w:spacing w:line="360" w:lineRule="auto"/>
        <w:rPr>
          <w:rFonts w:ascii="宋体" w:hAnsi="宋体" w:eastAsia="宋体" w:cs="宋体"/>
          <w:b/>
          <w:bCs/>
        </w:rPr>
      </w:pPr>
      <w:r>
        <w:rPr>
          <w:rFonts w:hint="eastAsia" w:ascii="宋体" w:hAnsi="宋体" w:eastAsia="宋体" w:cs="宋体"/>
          <w:b/>
          <w:bCs/>
        </w:rPr>
        <w:t>第八条 不可抗力事件</w:t>
      </w:r>
    </w:p>
    <w:p w14:paraId="1E28C05A">
      <w:pPr>
        <w:adjustRightInd w:val="0"/>
        <w:snapToGrid w:val="0"/>
        <w:spacing w:line="360" w:lineRule="auto"/>
        <w:rPr>
          <w:rFonts w:ascii="宋体" w:hAnsi="宋体" w:eastAsia="宋体" w:cs="宋体"/>
        </w:rPr>
      </w:pPr>
      <w:r>
        <w:rPr>
          <w:rFonts w:hint="eastAsia" w:ascii="宋体" w:hAnsi="宋体" w:eastAsia="宋体" w:cs="宋体"/>
        </w:rPr>
        <w:t>8.1由于恶劣天气、战争、自然灾害、运输中断、重大安全生产事故、政策变化，以及其他不能预见并且对其发生或后果不能防止或避免的不可抗力事件，致使直接影响到本合同的履行或者按约定的条件履行，遭遇不可抗力事件的一方应在15日内书面通知另一方，并向另一方出示有关不可抗力事件发生的有效证明。</w:t>
      </w:r>
    </w:p>
    <w:p w14:paraId="21FF0114">
      <w:pPr>
        <w:adjustRightInd w:val="0"/>
        <w:snapToGrid w:val="0"/>
        <w:spacing w:line="360" w:lineRule="auto"/>
        <w:rPr>
          <w:rFonts w:ascii="宋体" w:hAnsi="宋体" w:eastAsia="宋体" w:cs="宋体"/>
        </w:rPr>
      </w:pPr>
      <w:r>
        <w:rPr>
          <w:rFonts w:hint="eastAsia" w:ascii="宋体" w:hAnsi="宋体" w:eastAsia="宋体" w:cs="宋体"/>
        </w:rPr>
        <w:t>8.2遭受不可抗力一方应采取一切必要措施减少损失，并在事件消除后立即恢复本合同的履行；如果一方由于不可抗力事件无法履行其在本合同项下部分义务，则双方协商终止部分合同履行，该部分合同不能履行应免除各方相应责任，但并不影响其他部分合同继续履行。</w:t>
      </w:r>
    </w:p>
    <w:p w14:paraId="2BFD3243">
      <w:pPr>
        <w:adjustRightInd w:val="0"/>
        <w:snapToGrid w:val="0"/>
        <w:spacing w:line="360" w:lineRule="auto"/>
        <w:rPr>
          <w:rFonts w:ascii="宋体" w:hAnsi="宋体" w:eastAsia="宋体" w:cs="宋体"/>
          <w:b/>
          <w:bCs/>
        </w:rPr>
      </w:pPr>
      <w:r>
        <w:rPr>
          <w:rFonts w:hint="eastAsia" w:ascii="宋体" w:hAnsi="宋体" w:eastAsia="宋体" w:cs="宋体"/>
          <w:b/>
          <w:bCs/>
        </w:rPr>
        <w:t>第九条 争议的解决</w:t>
      </w:r>
    </w:p>
    <w:p w14:paraId="6A9C1950">
      <w:pPr>
        <w:adjustRightInd w:val="0"/>
        <w:snapToGrid w:val="0"/>
        <w:spacing w:line="360" w:lineRule="auto"/>
        <w:rPr>
          <w:rFonts w:ascii="宋体" w:hAnsi="宋体" w:eastAsia="宋体" w:cs="宋体"/>
        </w:rPr>
      </w:pPr>
      <w:r>
        <w:rPr>
          <w:rFonts w:hint="eastAsia" w:ascii="宋体" w:hAnsi="宋体" w:eastAsia="宋体" w:cs="宋体"/>
        </w:rPr>
        <w:t>9.1凡因合同或与本合同有关而发生的争议，卖买双方应友好协商解决。</w:t>
      </w:r>
    </w:p>
    <w:p w14:paraId="5761E9D6">
      <w:pPr>
        <w:adjustRightInd w:val="0"/>
        <w:snapToGrid w:val="0"/>
        <w:spacing w:line="360" w:lineRule="auto"/>
        <w:rPr>
          <w:rFonts w:ascii="宋体" w:hAnsi="宋体" w:eastAsia="宋体" w:cs="宋体"/>
        </w:rPr>
      </w:pPr>
      <w:r>
        <w:rPr>
          <w:rFonts w:hint="eastAsia" w:ascii="宋体" w:hAnsi="宋体" w:eastAsia="宋体" w:cs="宋体"/>
        </w:rPr>
        <w:t>9.2协商不一致时，任何一方有权向卖方所在地人民法院提起诉讼。</w:t>
      </w:r>
    </w:p>
    <w:p w14:paraId="66C1E108">
      <w:pPr>
        <w:adjustRightInd w:val="0"/>
        <w:snapToGrid w:val="0"/>
        <w:spacing w:line="360" w:lineRule="auto"/>
        <w:rPr>
          <w:rFonts w:ascii="宋体" w:hAnsi="宋体" w:eastAsia="宋体" w:cs="宋体"/>
          <w:b/>
          <w:bCs/>
        </w:rPr>
      </w:pPr>
      <w:r>
        <w:rPr>
          <w:rFonts w:hint="eastAsia" w:ascii="宋体" w:hAnsi="宋体" w:eastAsia="宋体" w:cs="宋体"/>
          <w:b/>
          <w:bCs/>
        </w:rPr>
        <w:t>第十条 保密</w:t>
      </w:r>
    </w:p>
    <w:p w14:paraId="58308904">
      <w:pPr>
        <w:adjustRightInd w:val="0"/>
        <w:snapToGrid w:val="0"/>
        <w:spacing w:line="360" w:lineRule="auto"/>
        <w:rPr>
          <w:rFonts w:ascii="宋体" w:hAnsi="宋体" w:eastAsia="宋体" w:cs="宋体"/>
        </w:rPr>
      </w:pPr>
      <w:r>
        <w:rPr>
          <w:rFonts w:hint="eastAsia" w:ascii="宋体" w:hAnsi="宋体" w:eastAsia="宋体" w:cs="宋体"/>
        </w:rPr>
        <w:t>10.1除向政府及监管部门、检验机构提供必要的信息外，未经对方同意，任何一方不得向任何第三方泄露与本合同涉及的数量、价格及品种质量等任何未公开商业信息。但根据证券交易所和监管机构的要求以及信息披露的要求进行的公开披露除外。</w:t>
      </w:r>
    </w:p>
    <w:p w14:paraId="7259A785">
      <w:pPr>
        <w:adjustRightInd w:val="0"/>
        <w:snapToGrid w:val="0"/>
        <w:spacing w:line="360" w:lineRule="auto"/>
        <w:rPr>
          <w:rFonts w:ascii="宋体" w:hAnsi="宋体" w:eastAsia="宋体" w:cs="宋体"/>
        </w:rPr>
      </w:pPr>
      <w:r>
        <w:rPr>
          <w:rFonts w:hint="eastAsia" w:ascii="宋体" w:hAnsi="宋体" w:eastAsia="宋体" w:cs="宋体"/>
        </w:rPr>
        <w:t>10.2任何一方因未遵守本项保密而造成对方损失的，负责赔偿对方的一切损失并使之无害。</w:t>
      </w:r>
    </w:p>
    <w:p w14:paraId="10947F57">
      <w:pPr>
        <w:adjustRightInd w:val="0"/>
        <w:snapToGrid w:val="0"/>
        <w:spacing w:line="360" w:lineRule="auto"/>
        <w:rPr>
          <w:rFonts w:ascii="宋体" w:hAnsi="宋体" w:eastAsia="宋体" w:cs="宋体"/>
        </w:rPr>
      </w:pPr>
      <w:r>
        <w:rPr>
          <w:rFonts w:hint="eastAsia" w:ascii="宋体" w:hAnsi="宋体" w:eastAsia="宋体" w:cs="宋体"/>
        </w:rPr>
        <w:t>10.3卖买双方进一步承诺，对于本合同履行过程中所知晓的对方的所有商业信息和秘密，协议对方及参与本合同履行的员工均负保密义务。</w:t>
      </w:r>
    </w:p>
    <w:p w14:paraId="689150CD">
      <w:pPr>
        <w:adjustRightInd w:val="0"/>
        <w:snapToGrid w:val="0"/>
        <w:spacing w:line="360" w:lineRule="auto"/>
        <w:rPr>
          <w:rFonts w:ascii="宋体" w:hAnsi="宋体" w:eastAsia="宋体" w:cs="宋体"/>
        </w:rPr>
      </w:pPr>
      <w:r>
        <w:rPr>
          <w:rFonts w:hint="eastAsia" w:ascii="宋体" w:hAnsi="宋体" w:eastAsia="宋体" w:cs="宋体"/>
        </w:rPr>
        <w:t>10.4本条约定的保密义务自本合同生效之日起3年后终止，除非需要保密的信息或资料非因任何一方的原因已向公众公开。</w:t>
      </w:r>
    </w:p>
    <w:p w14:paraId="6FF929BE">
      <w:pPr>
        <w:adjustRightInd w:val="0"/>
        <w:snapToGrid w:val="0"/>
        <w:spacing w:line="360" w:lineRule="auto"/>
        <w:rPr>
          <w:rFonts w:ascii="宋体" w:hAnsi="宋体" w:eastAsia="宋体" w:cs="宋体"/>
          <w:b/>
          <w:bCs/>
        </w:rPr>
      </w:pPr>
      <w:r>
        <w:rPr>
          <w:rFonts w:hint="eastAsia" w:ascii="宋体" w:hAnsi="宋体" w:eastAsia="宋体" w:cs="宋体"/>
          <w:b/>
          <w:bCs/>
        </w:rPr>
        <w:t>第十一条 协议书、承诺书约定</w:t>
      </w:r>
    </w:p>
    <w:p w14:paraId="7729D672">
      <w:pPr>
        <w:adjustRightInd w:val="0"/>
        <w:snapToGrid w:val="0"/>
        <w:spacing w:line="360" w:lineRule="auto"/>
        <w:rPr>
          <w:rFonts w:ascii="宋体" w:hAnsi="宋体" w:eastAsia="宋体" w:cs="宋体"/>
        </w:rPr>
      </w:pPr>
      <w:r>
        <w:rPr>
          <w:rFonts w:hint="eastAsia" w:ascii="宋体" w:hAnsi="宋体" w:eastAsia="宋体" w:cs="宋体"/>
        </w:rPr>
        <w:t>卖买双方附件内容如协议书、承诺书等均是本合同不可分割的一部分，与本合同同时签订后生效（详见附件）。</w:t>
      </w:r>
    </w:p>
    <w:p w14:paraId="2ABD5B6E">
      <w:pPr>
        <w:adjustRightInd w:val="0"/>
        <w:snapToGrid w:val="0"/>
        <w:spacing w:line="360" w:lineRule="auto"/>
        <w:rPr>
          <w:rFonts w:ascii="宋体" w:hAnsi="宋体" w:eastAsia="宋体" w:cs="宋体"/>
          <w:b/>
          <w:bCs/>
        </w:rPr>
      </w:pPr>
      <w:r>
        <w:rPr>
          <w:rFonts w:hint="eastAsia" w:ascii="宋体" w:hAnsi="宋体" w:eastAsia="宋体" w:cs="宋体"/>
          <w:b/>
          <w:bCs/>
        </w:rPr>
        <w:t>第十二条 生效及其它</w:t>
      </w:r>
    </w:p>
    <w:p w14:paraId="6BA8E1A8">
      <w:pPr>
        <w:adjustRightInd w:val="0"/>
        <w:snapToGrid w:val="0"/>
        <w:spacing w:line="360" w:lineRule="auto"/>
        <w:rPr>
          <w:rFonts w:ascii="宋体" w:hAnsi="宋体" w:eastAsia="宋体" w:cs="宋体"/>
        </w:rPr>
      </w:pPr>
      <w:r>
        <w:rPr>
          <w:rFonts w:hint="eastAsia" w:ascii="宋体" w:hAnsi="宋体" w:eastAsia="宋体" w:cs="宋体"/>
        </w:rPr>
        <w:t>12.1本合同经卖买双方法定代表人或授权代表签章并加盖公司公章或合同专用章（含合同骑缝章）之日起生效。</w:t>
      </w:r>
    </w:p>
    <w:p w14:paraId="5EDA8128">
      <w:pPr>
        <w:adjustRightInd w:val="0"/>
        <w:snapToGrid w:val="0"/>
        <w:spacing w:line="360" w:lineRule="auto"/>
        <w:rPr>
          <w:rFonts w:ascii="宋体" w:hAnsi="宋体" w:eastAsia="宋体" w:cs="宋体"/>
        </w:rPr>
      </w:pPr>
      <w:r>
        <w:rPr>
          <w:rFonts w:hint="eastAsia" w:ascii="宋体" w:hAnsi="宋体" w:eastAsia="宋体" w:cs="宋体"/>
        </w:rPr>
        <w:t>12.2为便于业务衔接，卖买双方同意《价格确认函》原件及传真件均为本合同的有效附件，经双方盖章后具有与本合同同等法律效力。</w:t>
      </w:r>
    </w:p>
    <w:p w14:paraId="0B311471">
      <w:pPr>
        <w:adjustRightInd w:val="0"/>
        <w:snapToGrid w:val="0"/>
        <w:spacing w:line="360" w:lineRule="auto"/>
        <w:rPr>
          <w:rFonts w:ascii="宋体" w:hAnsi="宋体" w:eastAsia="宋体" w:cs="宋体"/>
        </w:rPr>
      </w:pPr>
      <w:r>
        <w:rPr>
          <w:rFonts w:hint="eastAsia" w:ascii="宋体" w:hAnsi="宋体" w:eastAsia="宋体" w:cs="宋体"/>
        </w:rPr>
        <w:t>12.3本合同正本一式肆份，卖方执贰份，买方执贰份，未尽事宜或其他约定，合同双方可另签补充协议。</w:t>
      </w:r>
    </w:p>
    <w:p w14:paraId="7C0F5EB1">
      <w:pPr>
        <w:adjustRightInd w:val="0"/>
        <w:snapToGrid w:val="0"/>
        <w:spacing w:line="360" w:lineRule="auto"/>
        <w:rPr>
          <w:rFonts w:ascii="宋体" w:hAnsi="宋体" w:eastAsia="宋体" w:cs="宋体"/>
          <w:b/>
          <w:bCs/>
        </w:rPr>
      </w:pPr>
      <w:r>
        <w:rPr>
          <w:rFonts w:hint="eastAsia" w:ascii="宋体" w:hAnsi="宋体" w:eastAsia="宋体" w:cs="宋体"/>
          <w:b/>
          <w:bCs/>
        </w:rPr>
        <w:t>第十三条 附件</w:t>
      </w:r>
    </w:p>
    <w:p w14:paraId="58A6623D">
      <w:pPr>
        <w:adjustRightInd w:val="0"/>
        <w:snapToGrid w:val="0"/>
        <w:spacing w:line="360" w:lineRule="auto"/>
        <w:rPr>
          <w:rFonts w:ascii="宋体" w:hAnsi="宋体" w:eastAsia="宋体" w:cs="宋体"/>
        </w:rPr>
      </w:pPr>
      <w:r>
        <w:rPr>
          <w:rFonts w:hint="eastAsia" w:ascii="宋体" w:hAnsi="宋体" w:eastAsia="宋体" w:cs="宋体"/>
        </w:rPr>
        <w:t>附件1廉洁共建协议书</w:t>
      </w:r>
    </w:p>
    <w:p w14:paraId="566D2CE8">
      <w:pPr>
        <w:adjustRightInd w:val="0"/>
        <w:snapToGrid w:val="0"/>
        <w:spacing w:line="360" w:lineRule="auto"/>
        <w:rPr>
          <w:rFonts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2</w:t>
      </w:r>
      <w:r>
        <w:rPr>
          <w:rFonts w:hint="eastAsia" w:ascii="宋体" w:hAnsi="宋体" w:eastAsia="宋体" w:cs="宋体"/>
        </w:rPr>
        <w:t xml:space="preserve"> 草原防火协议书</w:t>
      </w:r>
    </w:p>
    <w:p w14:paraId="0D62E95C">
      <w:pPr>
        <w:adjustRightInd w:val="0"/>
        <w:snapToGrid w:val="0"/>
        <w:spacing w:line="360" w:lineRule="auto"/>
        <w:rPr>
          <w:rFonts w:ascii="宋体" w:hAnsi="宋体" w:eastAsia="宋体" w:cs="宋体"/>
          <w:szCs w:val="21"/>
        </w:rPr>
      </w:pPr>
    </w:p>
    <w:p w14:paraId="12713585">
      <w:pPr>
        <w:adjustRightInd w:val="0"/>
        <w:snapToGrid w:val="0"/>
        <w:spacing w:line="360" w:lineRule="auto"/>
        <w:rPr>
          <w:rFonts w:ascii="宋体" w:hAnsi="宋体" w:eastAsia="宋体" w:cs="宋体"/>
          <w:szCs w:val="21"/>
        </w:rPr>
      </w:pPr>
    </w:p>
    <w:p w14:paraId="4EDB25C0">
      <w:pPr>
        <w:adjustRightInd w:val="0"/>
        <w:snapToGrid w:val="0"/>
        <w:spacing w:line="360" w:lineRule="auto"/>
        <w:rPr>
          <w:rFonts w:ascii="宋体" w:hAnsi="宋体" w:eastAsia="宋体" w:cs="宋体"/>
          <w:szCs w:val="21"/>
        </w:rPr>
      </w:pPr>
    </w:p>
    <w:p w14:paraId="47E4B771">
      <w:pPr>
        <w:adjustRightInd w:val="0"/>
        <w:snapToGrid w:val="0"/>
        <w:spacing w:line="360" w:lineRule="auto"/>
        <w:rPr>
          <w:rFonts w:ascii="宋体" w:hAnsi="宋体" w:eastAsia="宋体" w:cs="宋体"/>
          <w:szCs w:val="21"/>
        </w:rPr>
      </w:pPr>
    </w:p>
    <w:p w14:paraId="17617863">
      <w:pPr>
        <w:adjustRightInd w:val="0"/>
        <w:snapToGrid w:val="0"/>
        <w:spacing w:line="360" w:lineRule="auto"/>
        <w:rPr>
          <w:rFonts w:ascii="宋体" w:hAnsi="宋体" w:eastAsia="宋体" w:cs="宋体"/>
          <w:szCs w:val="21"/>
        </w:rPr>
      </w:pPr>
    </w:p>
    <w:p w14:paraId="7C9548DF">
      <w:pPr>
        <w:adjustRightInd w:val="0"/>
        <w:snapToGrid w:val="0"/>
        <w:spacing w:line="360" w:lineRule="auto"/>
        <w:rPr>
          <w:rFonts w:ascii="宋体" w:hAnsi="宋体" w:eastAsia="宋体" w:cs="宋体"/>
          <w:szCs w:val="21"/>
        </w:rPr>
      </w:pPr>
    </w:p>
    <w:p w14:paraId="09BBD545">
      <w:pPr>
        <w:adjustRightInd w:val="0"/>
        <w:snapToGrid w:val="0"/>
        <w:spacing w:line="360" w:lineRule="auto"/>
        <w:rPr>
          <w:rFonts w:ascii="宋体" w:hAnsi="宋体" w:eastAsia="宋体" w:cs="宋体"/>
          <w:szCs w:val="21"/>
        </w:rPr>
      </w:pPr>
    </w:p>
    <w:p w14:paraId="579399DF">
      <w:pPr>
        <w:adjustRightInd w:val="0"/>
        <w:snapToGrid w:val="0"/>
        <w:spacing w:line="360" w:lineRule="auto"/>
        <w:rPr>
          <w:rFonts w:ascii="宋体" w:hAnsi="宋体" w:eastAsia="宋体" w:cs="宋体"/>
          <w:szCs w:val="21"/>
        </w:rPr>
      </w:pPr>
    </w:p>
    <w:p w14:paraId="4877D8B0">
      <w:pPr>
        <w:adjustRightInd w:val="0"/>
        <w:snapToGrid w:val="0"/>
        <w:spacing w:line="360" w:lineRule="auto"/>
        <w:rPr>
          <w:rFonts w:ascii="宋体" w:hAnsi="宋体" w:eastAsia="宋体" w:cs="宋体"/>
          <w:szCs w:val="21"/>
        </w:rPr>
      </w:pPr>
    </w:p>
    <w:p w14:paraId="4F5114B7">
      <w:pPr>
        <w:adjustRightInd w:val="0"/>
        <w:snapToGrid w:val="0"/>
        <w:spacing w:line="360" w:lineRule="auto"/>
        <w:rPr>
          <w:rFonts w:ascii="宋体" w:hAnsi="宋体" w:eastAsia="宋体" w:cs="宋体"/>
          <w:szCs w:val="21"/>
        </w:rPr>
      </w:pPr>
    </w:p>
    <w:p w14:paraId="0479E5D9">
      <w:pPr>
        <w:adjustRightInd w:val="0"/>
        <w:snapToGrid w:val="0"/>
        <w:spacing w:line="360" w:lineRule="auto"/>
        <w:rPr>
          <w:rFonts w:ascii="宋体" w:hAnsi="宋体" w:eastAsia="宋体" w:cs="宋体"/>
          <w:szCs w:val="21"/>
        </w:rPr>
      </w:pPr>
    </w:p>
    <w:p w14:paraId="225C95FE">
      <w:pPr>
        <w:adjustRightInd w:val="0"/>
        <w:snapToGrid w:val="0"/>
        <w:spacing w:line="360" w:lineRule="auto"/>
        <w:rPr>
          <w:rFonts w:ascii="宋体" w:hAnsi="宋体" w:eastAsia="宋体" w:cs="宋体"/>
          <w:szCs w:val="21"/>
        </w:rPr>
      </w:pPr>
    </w:p>
    <w:p w14:paraId="1AFB6322">
      <w:pPr>
        <w:adjustRightInd w:val="0"/>
        <w:snapToGrid w:val="0"/>
        <w:spacing w:line="360" w:lineRule="auto"/>
        <w:rPr>
          <w:rFonts w:ascii="宋体" w:hAnsi="宋体" w:eastAsia="宋体" w:cs="宋体"/>
          <w:szCs w:val="21"/>
        </w:rPr>
      </w:pPr>
    </w:p>
    <w:p w14:paraId="1AED6C24">
      <w:pPr>
        <w:adjustRightInd w:val="0"/>
        <w:snapToGrid w:val="0"/>
        <w:spacing w:line="360" w:lineRule="auto"/>
        <w:rPr>
          <w:rFonts w:ascii="宋体" w:hAnsi="宋体" w:eastAsia="宋体" w:cs="宋体"/>
          <w:szCs w:val="21"/>
        </w:rPr>
      </w:pPr>
    </w:p>
    <w:p w14:paraId="50148986">
      <w:pPr>
        <w:adjustRightInd w:val="0"/>
        <w:snapToGrid w:val="0"/>
        <w:spacing w:line="360" w:lineRule="auto"/>
        <w:rPr>
          <w:rFonts w:ascii="宋体" w:hAnsi="宋体" w:eastAsia="宋体" w:cs="宋体"/>
          <w:szCs w:val="21"/>
        </w:rPr>
      </w:pPr>
    </w:p>
    <w:p w14:paraId="419DDA2B">
      <w:pPr>
        <w:adjustRightInd w:val="0"/>
        <w:snapToGrid w:val="0"/>
        <w:spacing w:line="360" w:lineRule="auto"/>
        <w:rPr>
          <w:rFonts w:ascii="宋体" w:hAnsi="宋体" w:eastAsia="宋体" w:cs="宋体"/>
          <w:szCs w:val="21"/>
        </w:rPr>
      </w:pPr>
    </w:p>
    <w:p w14:paraId="28EC20CC">
      <w:pPr>
        <w:adjustRightInd w:val="0"/>
        <w:snapToGrid w:val="0"/>
        <w:spacing w:line="360" w:lineRule="auto"/>
        <w:rPr>
          <w:rFonts w:ascii="宋体" w:hAnsi="宋体" w:eastAsia="宋体" w:cs="宋体"/>
          <w:szCs w:val="21"/>
        </w:rPr>
      </w:pPr>
    </w:p>
    <w:p w14:paraId="5C2AD21F">
      <w:pPr>
        <w:adjustRightInd w:val="0"/>
        <w:snapToGrid w:val="0"/>
        <w:spacing w:line="360" w:lineRule="auto"/>
        <w:rPr>
          <w:rFonts w:ascii="宋体" w:hAnsi="宋体" w:eastAsia="宋体" w:cs="宋体"/>
          <w:szCs w:val="21"/>
        </w:rPr>
      </w:pPr>
    </w:p>
    <w:p w14:paraId="22F92FBB">
      <w:pPr>
        <w:adjustRightInd w:val="0"/>
        <w:snapToGrid w:val="0"/>
        <w:spacing w:line="360" w:lineRule="auto"/>
        <w:rPr>
          <w:rFonts w:ascii="宋体" w:hAnsi="宋体" w:eastAsia="宋体" w:cs="宋体"/>
          <w:szCs w:val="21"/>
        </w:rPr>
      </w:pPr>
    </w:p>
    <w:p w14:paraId="040E67CC">
      <w:pPr>
        <w:adjustRightInd w:val="0"/>
        <w:snapToGrid w:val="0"/>
        <w:spacing w:line="360" w:lineRule="auto"/>
        <w:rPr>
          <w:rFonts w:ascii="宋体" w:hAnsi="宋体" w:eastAsia="宋体" w:cs="宋体"/>
          <w:szCs w:val="21"/>
        </w:rPr>
      </w:pPr>
    </w:p>
    <w:p w14:paraId="55656926">
      <w:pPr>
        <w:adjustRightInd w:val="0"/>
        <w:snapToGrid w:val="0"/>
        <w:spacing w:line="360" w:lineRule="auto"/>
        <w:rPr>
          <w:rFonts w:ascii="宋体" w:hAnsi="宋体" w:eastAsia="宋体" w:cs="宋体"/>
          <w:szCs w:val="21"/>
        </w:rPr>
      </w:pPr>
    </w:p>
    <w:p w14:paraId="3C4A3553">
      <w:pPr>
        <w:adjustRightInd w:val="0"/>
        <w:snapToGrid w:val="0"/>
        <w:spacing w:line="360" w:lineRule="auto"/>
        <w:rPr>
          <w:rFonts w:ascii="宋体" w:hAnsi="宋体" w:eastAsia="宋体" w:cs="宋体"/>
          <w:szCs w:val="21"/>
        </w:rPr>
      </w:pPr>
    </w:p>
    <w:p w14:paraId="4A19B110">
      <w:pPr>
        <w:adjustRightInd w:val="0"/>
        <w:snapToGrid w:val="0"/>
        <w:spacing w:before="120"/>
        <w:jc w:val="center"/>
        <w:rPr>
          <w:rFonts w:hint="eastAsia" w:ascii="宋体" w:hAnsi="宋体" w:eastAsia="宋体" w:cs="宋体"/>
          <w:b/>
          <w:bCs/>
          <w:szCs w:val="21"/>
        </w:rPr>
      </w:pPr>
    </w:p>
    <w:p w14:paraId="1D1769CD">
      <w:pPr>
        <w:adjustRightInd w:val="0"/>
        <w:snapToGrid w:val="0"/>
        <w:spacing w:before="120"/>
        <w:jc w:val="center"/>
        <w:rPr>
          <w:rFonts w:hint="eastAsia" w:ascii="宋体" w:hAnsi="宋体" w:eastAsia="宋体" w:cs="宋体"/>
          <w:b/>
          <w:bCs/>
          <w:szCs w:val="21"/>
        </w:rPr>
      </w:pPr>
    </w:p>
    <w:p w14:paraId="5E0EF59D">
      <w:pPr>
        <w:adjustRightInd w:val="0"/>
        <w:snapToGrid w:val="0"/>
        <w:spacing w:before="120"/>
        <w:jc w:val="center"/>
        <w:rPr>
          <w:rFonts w:hint="eastAsia" w:ascii="宋体" w:hAnsi="宋体" w:eastAsia="宋体" w:cs="宋体"/>
          <w:b/>
          <w:bCs/>
          <w:szCs w:val="21"/>
        </w:rPr>
      </w:pPr>
    </w:p>
    <w:p w14:paraId="4B5E08AE">
      <w:pPr>
        <w:adjustRightInd w:val="0"/>
        <w:snapToGrid w:val="0"/>
        <w:spacing w:before="120"/>
        <w:jc w:val="center"/>
        <w:rPr>
          <w:rFonts w:hint="eastAsia" w:ascii="宋体" w:hAnsi="宋体" w:eastAsia="宋体" w:cs="宋体"/>
          <w:b/>
          <w:bCs/>
          <w:szCs w:val="21"/>
        </w:rPr>
      </w:pPr>
    </w:p>
    <w:p w14:paraId="54889D97">
      <w:pPr>
        <w:adjustRightInd w:val="0"/>
        <w:snapToGrid w:val="0"/>
        <w:spacing w:before="120"/>
        <w:jc w:val="center"/>
        <w:rPr>
          <w:rFonts w:hint="eastAsia" w:ascii="宋体" w:hAnsi="宋体" w:eastAsia="宋体" w:cs="宋体"/>
          <w:b/>
          <w:bCs/>
          <w:szCs w:val="21"/>
        </w:rPr>
      </w:pPr>
    </w:p>
    <w:p w14:paraId="2E4282F4">
      <w:pPr>
        <w:adjustRightInd w:val="0"/>
        <w:snapToGrid w:val="0"/>
        <w:spacing w:before="120"/>
        <w:jc w:val="center"/>
        <w:rPr>
          <w:rFonts w:hint="eastAsia" w:ascii="宋体" w:hAnsi="宋体" w:eastAsia="宋体" w:cs="宋体"/>
          <w:b/>
          <w:bCs/>
          <w:szCs w:val="21"/>
        </w:rPr>
      </w:pPr>
    </w:p>
    <w:p w14:paraId="188F86D5">
      <w:pPr>
        <w:adjustRightInd w:val="0"/>
        <w:snapToGrid w:val="0"/>
        <w:spacing w:before="120"/>
        <w:jc w:val="center"/>
        <w:rPr>
          <w:rFonts w:hint="eastAsia" w:ascii="宋体" w:hAnsi="宋体" w:eastAsia="宋体" w:cs="宋体"/>
          <w:b/>
          <w:bCs/>
          <w:szCs w:val="21"/>
        </w:rPr>
      </w:pPr>
    </w:p>
    <w:p w14:paraId="39DF69FB">
      <w:pPr>
        <w:adjustRightInd w:val="0"/>
        <w:snapToGrid w:val="0"/>
        <w:spacing w:before="120"/>
        <w:jc w:val="center"/>
        <w:rPr>
          <w:rFonts w:hint="eastAsia" w:ascii="宋体" w:hAnsi="宋体" w:eastAsia="宋体" w:cs="宋体"/>
          <w:b/>
          <w:bCs/>
          <w:szCs w:val="21"/>
        </w:rPr>
      </w:pPr>
    </w:p>
    <w:p w14:paraId="2B98C1A6">
      <w:pPr>
        <w:adjustRightInd w:val="0"/>
        <w:snapToGrid w:val="0"/>
        <w:spacing w:before="120"/>
        <w:jc w:val="center"/>
        <w:rPr>
          <w:rFonts w:hint="eastAsia" w:ascii="宋体" w:hAnsi="宋体" w:eastAsia="宋体" w:cs="宋体"/>
          <w:b/>
          <w:bCs/>
          <w:szCs w:val="21"/>
        </w:rPr>
      </w:pPr>
    </w:p>
    <w:p w14:paraId="4FF538FD">
      <w:pPr>
        <w:adjustRightInd w:val="0"/>
        <w:snapToGrid w:val="0"/>
        <w:spacing w:before="120"/>
        <w:jc w:val="center"/>
        <w:rPr>
          <w:rFonts w:ascii="宋体" w:hAnsi="宋体" w:eastAsia="宋体" w:cs="宋体"/>
          <w:b/>
          <w:bCs/>
          <w:szCs w:val="21"/>
        </w:rPr>
      </w:pPr>
      <w:r>
        <w:rPr>
          <w:rFonts w:hint="eastAsia" w:ascii="宋体" w:hAnsi="宋体" w:eastAsia="宋体" w:cs="宋体"/>
          <w:b/>
          <w:bCs/>
          <w:szCs w:val="21"/>
        </w:rPr>
        <w:t>签署页</w:t>
      </w:r>
    </w:p>
    <w:tbl>
      <w:tblPr>
        <w:tblStyle w:val="4"/>
        <w:tblpPr w:leftFromText="180" w:rightFromText="180" w:vertAnchor="text" w:horzAnchor="page" w:tblpXSpec="center" w:tblpY="196"/>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6"/>
        <w:gridCol w:w="4452"/>
      </w:tblGrid>
      <w:tr w14:paraId="0B70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4" w:hRule="atLeast"/>
        </w:trPr>
        <w:tc>
          <w:tcPr>
            <w:tcW w:w="2446" w:type="pct"/>
            <w:tcBorders>
              <w:top w:val="single" w:color="auto" w:sz="4" w:space="0"/>
              <w:left w:val="single" w:color="auto" w:sz="4" w:space="0"/>
              <w:bottom w:val="single" w:color="auto" w:sz="4" w:space="0"/>
              <w:right w:val="single" w:color="auto" w:sz="4" w:space="0"/>
            </w:tcBorders>
          </w:tcPr>
          <w:p w14:paraId="2DD30EB1">
            <w:pPr>
              <w:adjustRightInd w:val="0"/>
              <w:snapToGrid w:val="0"/>
              <w:rPr>
                <w:rFonts w:ascii="宋体" w:hAnsi="宋体" w:eastAsia="宋体" w:cs="宋体"/>
                <w:szCs w:val="21"/>
              </w:rPr>
            </w:pPr>
            <w:r>
              <w:rPr>
                <w:rFonts w:hint="eastAsia" w:ascii="宋体" w:hAnsi="宋体" w:eastAsia="宋体" w:cs="宋体"/>
                <w:szCs w:val="21"/>
              </w:rPr>
              <w:t xml:space="preserve">卖方（章）： </w:t>
            </w:r>
          </w:p>
        </w:tc>
        <w:tc>
          <w:tcPr>
            <w:tcW w:w="2553" w:type="pct"/>
            <w:tcBorders>
              <w:top w:val="single" w:color="auto" w:sz="4" w:space="0"/>
              <w:left w:val="single" w:color="auto" w:sz="4" w:space="0"/>
              <w:bottom w:val="single" w:color="auto" w:sz="4" w:space="0"/>
              <w:right w:val="single" w:color="auto" w:sz="4" w:space="0"/>
            </w:tcBorders>
          </w:tcPr>
          <w:p w14:paraId="55B6B62C">
            <w:pPr>
              <w:adjustRightInd w:val="0"/>
              <w:snapToGrid w:val="0"/>
              <w:rPr>
                <w:rFonts w:ascii="宋体" w:hAnsi="宋体" w:eastAsia="宋体" w:cs="宋体"/>
                <w:szCs w:val="21"/>
              </w:rPr>
            </w:pPr>
            <w:r>
              <w:rPr>
                <w:rFonts w:hint="eastAsia" w:ascii="宋体" w:hAnsi="宋体" w:eastAsia="宋体" w:cs="宋体"/>
                <w:szCs w:val="21"/>
              </w:rPr>
              <w:t>买方（章）：</w:t>
            </w:r>
          </w:p>
        </w:tc>
      </w:tr>
      <w:tr w14:paraId="1F44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446" w:type="pct"/>
            <w:tcBorders>
              <w:top w:val="single" w:color="auto" w:sz="4" w:space="0"/>
              <w:left w:val="single" w:color="auto" w:sz="4" w:space="0"/>
              <w:bottom w:val="single" w:color="auto" w:sz="4" w:space="0"/>
              <w:right w:val="single" w:color="auto" w:sz="4" w:space="0"/>
            </w:tcBorders>
          </w:tcPr>
          <w:p w14:paraId="6159BBB5">
            <w:pPr>
              <w:adjustRightInd w:val="0"/>
              <w:snapToGrid w:val="0"/>
              <w:rPr>
                <w:rFonts w:ascii="宋体" w:hAnsi="宋体" w:eastAsia="宋体" w:cs="宋体"/>
                <w:szCs w:val="21"/>
              </w:rPr>
            </w:pPr>
            <w:r>
              <w:rPr>
                <w:rFonts w:hint="eastAsia" w:ascii="宋体" w:hAnsi="宋体" w:eastAsia="宋体" w:cs="宋体"/>
                <w:szCs w:val="21"/>
              </w:rPr>
              <w:t>单位名称：华润电力（锡林郭勒）煤业有限公司</w:t>
            </w:r>
          </w:p>
        </w:tc>
        <w:tc>
          <w:tcPr>
            <w:tcW w:w="2553" w:type="pct"/>
            <w:tcBorders>
              <w:top w:val="single" w:color="auto" w:sz="4" w:space="0"/>
              <w:left w:val="single" w:color="auto" w:sz="4" w:space="0"/>
              <w:bottom w:val="single" w:color="auto" w:sz="4" w:space="0"/>
              <w:right w:val="single" w:color="auto" w:sz="4" w:space="0"/>
            </w:tcBorders>
          </w:tcPr>
          <w:p w14:paraId="6B06E2E7">
            <w:pPr>
              <w:adjustRightInd w:val="0"/>
              <w:snapToGrid w:val="0"/>
              <w:rPr>
                <w:rFonts w:ascii="宋体" w:hAnsi="宋体" w:eastAsia="宋体" w:cs="宋体"/>
                <w:szCs w:val="21"/>
              </w:rPr>
            </w:pPr>
            <w:r>
              <w:rPr>
                <w:rFonts w:hint="eastAsia" w:ascii="宋体" w:hAnsi="宋体" w:eastAsia="宋体" w:cs="宋体"/>
                <w:szCs w:val="21"/>
              </w:rPr>
              <w:t xml:space="preserve">单位名称： </w:t>
            </w:r>
          </w:p>
        </w:tc>
      </w:tr>
      <w:tr w14:paraId="7A0F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2446" w:type="pct"/>
            <w:tcBorders>
              <w:top w:val="single" w:color="auto" w:sz="4" w:space="0"/>
              <w:left w:val="single" w:color="auto" w:sz="4" w:space="0"/>
              <w:bottom w:val="single" w:color="auto" w:sz="4" w:space="0"/>
              <w:right w:val="single" w:color="auto" w:sz="4" w:space="0"/>
            </w:tcBorders>
          </w:tcPr>
          <w:p w14:paraId="487DC145">
            <w:pPr>
              <w:adjustRightInd w:val="0"/>
              <w:snapToGrid w:val="0"/>
              <w:rPr>
                <w:rFonts w:ascii="宋体" w:hAnsi="宋体" w:eastAsia="宋体" w:cs="宋体"/>
                <w:szCs w:val="21"/>
              </w:rPr>
            </w:pPr>
            <w:r>
              <w:rPr>
                <w:rFonts w:hint="eastAsia" w:ascii="宋体" w:hAnsi="宋体" w:eastAsia="宋体" w:cs="宋体"/>
                <w:szCs w:val="21"/>
              </w:rPr>
              <w:t>单位地址：内蒙古自治区锡林郭勒盟西乌珠穆沁旗吉仁高勒镇巴彦高勒嘎查五间房西一矿B楼</w:t>
            </w:r>
          </w:p>
        </w:tc>
        <w:tc>
          <w:tcPr>
            <w:tcW w:w="2553" w:type="pct"/>
            <w:tcBorders>
              <w:top w:val="single" w:color="auto" w:sz="4" w:space="0"/>
              <w:left w:val="single" w:color="auto" w:sz="4" w:space="0"/>
              <w:bottom w:val="single" w:color="auto" w:sz="4" w:space="0"/>
              <w:right w:val="single" w:color="auto" w:sz="4" w:space="0"/>
            </w:tcBorders>
          </w:tcPr>
          <w:p w14:paraId="4BA5C83E">
            <w:pPr>
              <w:adjustRightInd w:val="0"/>
              <w:snapToGrid w:val="0"/>
              <w:rPr>
                <w:rFonts w:ascii="宋体" w:hAnsi="宋体" w:eastAsia="宋体" w:cs="宋体"/>
                <w:szCs w:val="21"/>
              </w:rPr>
            </w:pPr>
            <w:r>
              <w:rPr>
                <w:rFonts w:hint="eastAsia" w:ascii="宋体" w:hAnsi="宋体" w:eastAsia="宋体" w:cs="宋体"/>
                <w:szCs w:val="21"/>
              </w:rPr>
              <w:t xml:space="preserve">单位地址： </w:t>
            </w:r>
          </w:p>
        </w:tc>
      </w:tr>
      <w:tr w14:paraId="1FD9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2446" w:type="pct"/>
            <w:tcBorders>
              <w:top w:val="single" w:color="auto" w:sz="4" w:space="0"/>
              <w:left w:val="single" w:color="auto" w:sz="4" w:space="0"/>
              <w:bottom w:val="single" w:color="auto" w:sz="4" w:space="0"/>
              <w:right w:val="single" w:color="auto" w:sz="4" w:space="0"/>
            </w:tcBorders>
          </w:tcPr>
          <w:p w14:paraId="57BAC574">
            <w:pPr>
              <w:adjustRightInd w:val="0"/>
              <w:snapToGrid w:val="0"/>
              <w:rPr>
                <w:rFonts w:ascii="宋体" w:hAnsi="宋体" w:eastAsia="宋体" w:cs="宋体"/>
                <w:szCs w:val="21"/>
              </w:rPr>
            </w:pPr>
            <w:r>
              <w:rPr>
                <w:rFonts w:hint="eastAsia" w:ascii="宋体" w:hAnsi="宋体" w:eastAsia="宋体" w:cs="宋体"/>
                <w:szCs w:val="21"/>
              </w:rPr>
              <w:t>法定代表人或授权代表（签字/名章）：</w:t>
            </w:r>
          </w:p>
        </w:tc>
        <w:tc>
          <w:tcPr>
            <w:tcW w:w="2553" w:type="pct"/>
            <w:tcBorders>
              <w:top w:val="single" w:color="auto" w:sz="4" w:space="0"/>
              <w:left w:val="single" w:color="auto" w:sz="4" w:space="0"/>
              <w:bottom w:val="single" w:color="auto" w:sz="4" w:space="0"/>
              <w:right w:val="single" w:color="auto" w:sz="4" w:space="0"/>
            </w:tcBorders>
          </w:tcPr>
          <w:p w14:paraId="1CCA0427">
            <w:pPr>
              <w:adjustRightInd w:val="0"/>
              <w:snapToGrid w:val="0"/>
              <w:rPr>
                <w:rFonts w:ascii="宋体" w:hAnsi="宋体" w:eastAsia="宋体" w:cs="宋体"/>
                <w:szCs w:val="21"/>
              </w:rPr>
            </w:pPr>
            <w:r>
              <w:rPr>
                <w:rFonts w:hint="eastAsia" w:ascii="宋体" w:hAnsi="宋体" w:eastAsia="宋体" w:cs="宋体"/>
                <w:szCs w:val="21"/>
              </w:rPr>
              <w:t>法定代表人或授权代表（签字/名章）：</w:t>
            </w:r>
          </w:p>
        </w:tc>
      </w:tr>
      <w:tr w14:paraId="7489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446" w:type="pct"/>
            <w:tcBorders>
              <w:top w:val="single" w:color="auto" w:sz="4" w:space="0"/>
              <w:left w:val="single" w:color="auto" w:sz="4" w:space="0"/>
              <w:bottom w:val="single" w:color="auto" w:sz="4" w:space="0"/>
              <w:right w:val="single" w:color="auto" w:sz="4" w:space="0"/>
            </w:tcBorders>
            <w:vAlign w:val="center"/>
          </w:tcPr>
          <w:p w14:paraId="520FA872">
            <w:pPr>
              <w:adjustRightInd w:val="0"/>
              <w:snapToGrid w:val="0"/>
              <w:rPr>
                <w:rFonts w:ascii="宋体" w:hAnsi="宋体" w:eastAsia="宋体" w:cs="宋体"/>
                <w:szCs w:val="21"/>
              </w:rPr>
            </w:pPr>
            <w:r>
              <w:rPr>
                <w:rFonts w:hint="eastAsia" w:ascii="宋体" w:hAnsi="宋体" w:eastAsia="宋体" w:cs="宋体"/>
                <w:szCs w:val="21"/>
              </w:rPr>
              <w:t>开户银行：中国建设银行股份有限公司锡林浩特金融街支行</w:t>
            </w:r>
          </w:p>
        </w:tc>
        <w:tc>
          <w:tcPr>
            <w:tcW w:w="2553" w:type="pct"/>
            <w:tcBorders>
              <w:top w:val="single" w:color="auto" w:sz="4" w:space="0"/>
              <w:left w:val="single" w:color="auto" w:sz="4" w:space="0"/>
              <w:bottom w:val="single" w:color="auto" w:sz="4" w:space="0"/>
              <w:right w:val="single" w:color="auto" w:sz="4" w:space="0"/>
            </w:tcBorders>
            <w:vAlign w:val="center"/>
          </w:tcPr>
          <w:p w14:paraId="18E547F8">
            <w:pPr>
              <w:adjustRightInd w:val="0"/>
              <w:snapToGrid w:val="0"/>
              <w:rPr>
                <w:rFonts w:ascii="宋体" w:hAnsi="宋体" w:eastAsia="宋体" w:cs="宋体"/>
                <w:szCs w:val="21"/>
              </w:rPr>
            </w:pPr>
            <w:r>
              <w:rPr>
                <w:rFonts w:hint="eastAsia" w:ascii="宋体" w:hAnsi="宋体" w:eastAsia="宋体" w:cs="宋体"/>
                <w:szCs w:val="21"/>
              </w:rPr>
              <w:t xml:space="preserve">开户银行： </w:t>
            </w:r>
          </w:p>
        </w:tc>
      </w:tr>
      <w:tr w14:paraId="4DE1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446" w:type="pct"/>
            <w:tcBorders>
              <w:top w:val="single" w:color="auto" w:sz="4" w:space="0"/>
              <w:left w:val="single" w:color="auto" w:sz="4" w:space="0"/>
              <w:bottom w:val="single" w:color="auto" w:sz="4" w:space="0"/>
              <w:right w:val="single" w:color="auto" w:sz="4" w:space="0"/>
            </w:tcBorders>
            <w:vAlign w:val="center"/>
          </w:tcPr>
          <w:p w14:paraId="38CEC1A0">
            <w:pPr>
              <w:adjustRightInd w:val="0"/>
              <w:snapToGrid w:val="0"/>
              <w:rPr>
                <w:rFonts w:ascii="宋体" w:hAnsi="宋体" w:eastAsia="宋体" w:cs="宋体"/>
                <w:szCs w:val="21"/>
              </w:rPr>
            </w:pPr>
            <w:r>
              <w:rPr>
                <w:rFonts w:hint="eastAsia" w:ascii="宋体" w:hAnsi="宋体" w:eastAsia="宋体" w:cs="宋体"/>
                <w:szCs w:val="21"/>
              </w:rPr>
              <w:t>账号：15001656642052506746</w:t>
            </w:r>
          </w:p>
        </w:tc>
        <w:tc>
          <w:tcPr>
            <w:tcW w:w="2553" w:type="pct"/>
            <w:tcBorders>
              <w:top w:val="single" w:color="auto" w:sz="4" w:space="0"/>
              <w:left w:val="single" w:color="auto" w:sz="4" w:space="0"/>
              <w:bottom w:val="single" w:color="auto" w:sz="4" w:space="0"/>
              <w:right w:val="single" w:color="auto" w:sz="4" w:space="0"/>
            </w:tcBorders>
            <w:vAlign w:val="center"/>
          </w:tcPr>
          <w:p w14:paraId="556E0D20">
            <w:pPr>
              <w:adjustRightInd w:val="0"/>
              <w:snapToGrid w:val="0"/>
              <w:rPr>
                <w:rFonts w:ascii="宋体" w:hAnsi="宋体" w:eastAsia="宋体" w:cs="宋体"/>
                <w:szCs w:val="21"/>
              </w:rPr>
            </w:pPr>
            <w:r>
              <w:rPr>
                <w:rFonts w:hint="eastAsia" w:ascii="宋体" w:hAnsi="宋体" w:eastAsia="宋体" w:cs="宋体"/>
                <w:szCs w:val="21"/>
              </w:rPr>
              <w:t>账号：</w:t>
            </w:r>
          </w:p>
        </w:tc>
      </w:tr>
      <w:tr w14:paraId="31DB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446" w:type="pct"/>
            <w:tcBorders>
              <w:top w:val="single" w:color="auto" w:sz="4" w:space="0"/>
              <w:left w:val="single" w:color="auto" w:sz="4" w:space="0"/>
              <w:bottom w:val="single" w:color="auto" w:sz="4" w:space="0"/>
              <w:right w:val="single" w:color="auto" w:sz="4" w:space="0"/>
            </w:tcBorders>
          </w:tcPr>
          <w:p w14:paraId="0C1C9C50">
            <w:pPr>
              <w:adjustRightInd w:val="0"/>
              <w:snapToGrid w:val="0"/>
              <w:rPr>
                <w:rFonts w:ascii="宋体" w:hAnsi="宋体" w:eastAsia="宋体" w:cs="宋体"/>
                <w:szCs w:val="21"/>
              </w:rPr>
            </w:pPr>
            <w:r>
              <w:rPr>
                <w:rFonts w:hint="eastAsia" w:ascii="宋体" w:hAnsi="宋体" w:eastAsia="宋体" w:cs="宋体"/>
                <w:szCs w:val="21"/>
              </w:rPr>
              <w:t>统一社会信用代码：911525006800043118</w:t>
            </w:r>
          </w:p>
        </w:tc>
        <w:tc>
          <w:tcPr>
            <w:tcW w:w="2553" w:type="pct"/>
            <w:tcBorders>
              <w:top w:val="single" w:color="auto" w:sz="4" w:space="0"/>
              <w:left w:val="single" w:color="auto" w:sz="4" w:space="0"/>
              <w:bottom w:val="single" w:color="auto" w:sz="4" w:space="0"/>
              <w:right w:val="single" w:color="auto" w:sz="4" w:space="0"/>
            </w:tcBorders>
          </w:tcPr>
          <w:p w14:paraId="74DBD39A">
            <w:pPr>
              <w:adjustRightInd w:val="0"/>
              <w:snapToGrid w:val="0"/>
              <w:rPr>
                <w:rFonts w:ascii="宋体" w:hAnsi="宋体" w:eastAsia="宋体" w:cs="宋体"/>
                <w:szCs w:val="21"/>
              </w:rPr>
            </w:pPr>
            <w:r>
              <w:rPr>
                <w:rFonts w:hint="eastAsia" w:ascii="宋体" w:hAnsi="宋体" w:eastAsia="宋体" w:cs="宋体"/>
                <w:szCs w:val="21"/>
              </w:rPr>
              <w:t>统一社会信用代码：</w:t>
            </w:r>
          </w:p>
        </w:tc>
      </w:tr>
      <w:tr w14:paraId="4364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446" w:type="pct"/>
            <w:tcBorders>
              <w:top w:val="single" w:color="auto" w:sz="4" w:space="0"/>
              <w:left w:val="single" w:color="auto" w:sz="4" w:space="0"/>
              <w:bottom w:val="single" w:color="auto" w:sz="4" w:space="0"/>
              <w:right w:val="single" w:color="auto" w:sz="4" w:space="0"/>
            </w:tcBorders>
            <w:vAlign w:val="center"/>
          </w:tcPr>
          <w:p w14:paraId="16D6D246">
            <w:pPr>
              <w:adjustRightInd w:val="0"/>
              <w:snapToGrid w:val="0"/>
              <w:rPr>
                <w:rFonts w:ascii="宋体" w:hAnsi="宋体" w:eastAsia="宋体" w:cs="宋体"/>
                <w:szCs w:val="21"/>
              </w:rPr>
            </w:pPr>
            <w:r>
              <w:rPr>
                <w:rFonts w:hint="eastAsia" w:ascii="宋体" w:hAnsi="宋体" w:eastAsia="宋体" w:cs="宋体"/>
                <w:szCs w:val="21"/>
              </w:rPr>
              <w:t>电话：</w:t>
            </w:r>
          </w:p>
        </w:tc>
        <w:tc>
          <w:tcPr>
            <w:tcW w:w="2553" w:type="pct"/>
            <w:tcBorders>
              <w:top w:val="single" w:color="auto" w:sz="4" w:space="0"/>
              <w:left w:val="single" w:color="auto" w:sz="4" w:space="0"/>
              <w:bottom w:val="single" w:color="auto" w:sz="4" w:space="0"/>
              <w:right w:val="single" w:color="auto" w:sz="4" w:space="0"/>
            </w:tcBorders>
            <w:vAlign w:val="center"/>
          </w:tcPr>
          <w:p w14:paraId="2889E9B4">
            <w:pPr>
              <w:adjustRightInd w:val="0"/>
              <w:snapToGrid w:val="0"/>
              <w:rPr>
                <w:rFonts w:ascii="宋体" w:hAnsi="宋体" w:eastAsia="宋体" w:cs="宋体"/>
                <w:szCs w:val="21"/>
              </w:rPr>
            </w:pPr>
            <w:r>
              <w:rPr>
                <w:rFonts w:hint="eastAsia" w:ascii="宋体" w:hAnsi="宋体" w:eastAsia="宋体" w:cs="宋体"/>
                <w:szCs w:val="21"/>
              </w:rPr>
              <w:t>电话：</w:t>
            </w:r>
          </w:p>
        </w:tc>
      </w:tr>
    </w:tbl>
    <w:p w14:paraId="6542C2DC">
      <w:pPr>
        <w:adjustRightInd w:val="0"/>
        <w:snapToGrid w:val="0"/>
        <w:spacing w:line="360" w:lineRule="auto"/>
        <w:rPr>
          <w:rFonts w:ascii="宋体" w:hAnsi="宋体" w:eastAsia="宋体" w:cs="宋体"/>
          <w:szCs w:val="21"/>
        </w:rPr>
      </w:pPr>
    </w:p>
    <w:p w14:paraId="013EB165">
      <w:pPr>
        <w:widowControl/>
        <w:jc w:val="left"/>
        <w:rPr>
          <w:rFonts w:ascii="宋体" w:hAnsi="宋体" w:eastAsia="宋体" w:cs="宋体"/>
          <w:b/>
          <w:kern w:val="0"/>
          <w:szCs w:val="21"/>
        </w:rPr>
        <w:sectPr>
          <w:pgSz w:w="11906" w:h="16838"/>
          <w:pgMar w:top="1418" w:right="1701" w:bottom="1418" w:left="1701" w:header="851" w:footer="992" w:gutter="0"/>
          <w:cols w:space="720" w:num="1"/>
          <w:docGrid w:type="lines" w:linePitch="312" w:charSpace="0"/>
        </w:sectPr>
      </w:pPr>
    </w:p>
    <w:p w14:paraId="3E321FCE">
      <w:pPr>
        <w:adjustRightInd w:val="0"/>
        <w:snapToGrid w:val="0"/>
        <w:spacing w:line="720" w:lineRule="auto"/>
        <w:rPr>
          <w:rFonts w:hint="eastAsia" w:ascii="宋体" w:hAnsi="宋体" w:eastAsia="宋体" w:cs="宋体"/>
          <w:b/>
          <w:bCs/>
          <w:sz w:val="24"/>
          <w:szCs w:val="21"/>
          <w:lang w:eastAsia="zh-CN"/>
        </w:rPr>
      </w:pPr>
      <w:r>
        <w:rPr>
          <w:rFonts w:hint="eastAsia" w:ascii="宋体" w:hAnsi="宋体" w:eastAsia="宋体" w:cs="宋体"/>
          <w:b/>
          <w:bCs/>
          <w:szCs w:val="21"/>
        </w:rPr>
        <w:t xml:space="preserve">附件1 </w:t>
      </w:r>
      <w:r>
        <w:rPr>
          <w:rFonts w:hint="eastAsia" w:ascii="宋体" w:hAnsi="宋体" w:eastAsia="宋体" w:cs="宋体"/>
          <w:b/>
          <w:bCs/>
          <w:szCs w:val="21"/>
          <w:lang w:eastAsia="zh-CN"/>
        </w:rPr>
        <w:t>：</w:t>
      </w:r>
    </w:p>
    <w:p w14:paraId="594B3E7F">
      <w:pPr>
        <w:adjustRightInd w:val="0"/>
        <w:snapToGrid w:val="0"/>
        <w:spacing w:after="312" w:afterLines="100"/>
        <w:jc w:val="center"/>
        <w:rPr>
          <w:rFonts w:hint="eastAsia" w:ascii="宋体" w:hAnsi="宋体" w:eastAsia="宋体" w:cs="宋体"/>
          <w:b/>
          <w:bCs/>
          <w:sz w:val="32"/>
          <w:szCs w:val="32"/>
        </w:rPr>
      </w:pPr>
      <w:r>
        <w:rPr>
          <w:rFonts w:hint="eastAsia" w:ascii="宋体" w:hAnsi="宋体" w:eastAsia="宋体" w:cs="宋体"/>
          <w:b/>
          <w:bCs/>
          <w:sz w:val="32"/>
          <w:szCs w:val="32"/>
        </w:rPr>
        <w:t>廉洁共建协议书</w:t>
      </w:r>
    </w:p>
    <w:p w14:paraId="45268128">
      <w:pPr>
        <w:spacing w:line="360" w:lineRule="auto"/>
        <w:ind w:firstLine="480"/>
        <w:rPr>
          <w:rFonts w:ascii="宋体" w:hAnsi="宋体" w:eastAsia="宋体" w:cs="宋体"/>
          <w:u w:val="single"/>
        </w:rPr>
      </w:pPr>
      <w:r>
        <w:rPr>
          <w:rFonts w:hint="eastAsia" w:ascii="宋体" w:hAnsi="宋体" w:eastAsia="宋体" w:cs="宋体"/>
          <w:lang w:val="en-US" w:eastAsia="zh-CN"/>
        </w:rPr>
        <w:t>卖</w:t>
      </w:r>
      <w:r>
        <w:rPr>
          <w:rFonts w:hint="eastAsia" w:ascii="宋体" w:hAnsi="宋体" w:eastAsia="宋体" w:cs="宋体"/>
        </w:rPr>
        <w:t xml:space="preserve">方: </w:t>
      </w:r>
      <w:r>
        <w:rPr>
          <w:rFonts w:hint="eastAsia" w:ascii="宋体" w:hAnsi="宋体" w:eastAsia="宋体" w:cs="宋体"/>
          <w:u w:val="single"/>
        </w:rPr>
        <w:t xml:space="preserve"> 华润电力（锡林郭勒）煤业有限公司</w:t>
      </w:r>
      <w:r>
        <w:rPr>
          <w:rFonts w:hint="eastAsia" w:ascii="宋体" w:hAnsi="宋体" w:eastAsia="宋体" w:cs="宋体"/>
          <w:u w:val="single"/>
          <w:lang w:val="en-US" w:eastAsia="zh-CN"/>
        </w:rPr>
        <w:t xml:space="preserve"> </w:t>
      </w:r>
      <w:r>
        <w:rPr>
          <w:rFonts w:ascii="宋体" w:hAnsi="宋体" w:eastAsia="宋体" w:cs="宋体"/>
          <w:u w:val="single"/>
        </w:rPr>
        <w:t xml:space="preserve">  </w:t>
      </w:r>
    </w:p>
    <w:p w14:paraId="3BEA8F7B">
      <w:pPr>
        <w:spacing w:line="360" w:lineRule="auto"/>
        <w:ind w:firstLine="480"/>
        <w:rPr>
          <w:rFonts w:ascii="宋体" w:hAnsi="宋体" w:eastAsia="宋体" w:cs="宋体"/>
        </w:rPr>
      </w:pPr>
      <w:r>
        <w:rPr>
          <w:rFonts w:hint="eastAsia" w:ascii="宋体" w:hAnsi="宋体" w:eastAsia="宋体" w:cs="宋体"/>
          <w:lang w:val="en-US" w:eastAsia="zh-CN"/>
        </w:rPr>
        <w:t>买</w:t>
      </w:r>
      <w:r>
        <w:rPr>
          <w:rFonts w:hint="eastAsia" w:ascii="宋体" w:hAnsi="宋体" w:eastAsia="宋体" w:cs="宋体"/>
        </w:rPr>
        <w:t xml:space="preserve">方: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rPr>
        <w:t xml:space="preserve"> </w:t>
      </w:r>
    </w:p>
    <w:p w14:paraId="1FD5067C">
      <w:pPr>
        <w:spacing w:line="360" w:lineRule="auto"/>
        <w:ind w:firstLine="480"/>
        <w:rPr>
          <w:rFonts w:ascii="宋体" w:hAnsi="宋体" w:eastAsia="宋体" w:cs="宋体"/>
        </w:rPr>
      </w:pPr>
      <w:r>
        <w:rPr>
          <w:rFonts w:hint="eastAsia" w:ascii="宋体" w:hAnsi="宋体" w:eastAsia="宋体" w:cs="宋体"/>
        </w:rPr>
        <w:t>买卖双方为了更好地履行所签订的合同，规范合同管理，防止在合同履行过程中发生违规违纪现象，保证合同正常实施，促进廉洁建设，创建公开、公平、公正、合理的经济生态环境，经买卖双方商定，特签订本廉洁共建协议书。</w:t>
      </w:r>
    </w:p>
    <w:p w14:paraId="50EEF7FB">
      <w:pPr>
        <w:spacing w:line="360" w:lineRule="auto"/>
        <w:ind w:firstLine="480"/>
        <w:rPr>
          <w:rFonts w:ascii="宋体" w:hAnsi="宋体" w:eastAsia="宋体" w:cs="宋体"/>
        </w:rPr>
      </w:pPr>
      <w:r>
        <w:rPr>
          <w:rFonts w:hint="eastAsia" w:ascii="宋体" w:hAnsi="宋体" w:eastAsia="宋体" w:cs="宋体"/>
        </w:rPr>
        <w:t>一．买方承诺：</w:t>
      </w:r>
    </w:p>
    <w:p w14:paraId="189C84AB">
      <w:pPr>
        <w:spacing w:line="360" w:lineRule="auto"/>
        <w:ind w:firstLine="480"/>
        <w:rPr>
          <w:rFonts w:ascii="宋体" w:hAnsi="宋体" w:eastAsia="宋体" w:cs="宋体"/>
        </w:rPr>
      </w:pPr>
      <w:r>
        <w:rPr>
          <w:rFonts w:hint="eastAsia" w:ascii="宋体" w:hAnsi="宋体" w:eastAsia="宋体" w:cs="宋体"/>
        </w:rPr>
        <w:t>1．买方相关人员不得利用职务和工作之便,向卖方索、拿、卡、要钱物,不接受卖方赠送的红包、礼品，不参加可能影响公务活动公正进行的宴请、娱乐、旅游等活动，不在卖方报销任何个人费用。不安排利益相关人到卖方单位工作。</w:t>
      </w:r>
    </w:p>
    <w:p w14:paraId="7DC23368">
      <w:pPr>
        <w:spacing w:line="360" w:lineRule="auto"/>
        <w:ind w:firstLine="480"/>
        <w:rPr>
          <w:rFonts w:ascii="宋体" w:hAnsi="宋体" w:eastAsia="宋体" w:cs="宋体"/>
        </w:rPr>
      </w:pPr>
      <w:r>
        <w:rPr>
          <w:rFonts w:hint="eastAsia" w:ascii="宋体" w:hAnsi="宋体" w:eastAsia="宋体" w:cs="宋体"/>
        </w:rPr>
        <w:t>2．不向卖方暗示送钱送物，敲诈勒索和故意刁难。</w:t>
      </w:r>
    </w:p>
    <w:p w14:paraId="4A7B13E2">
      <w:pPr>
        <w:spacing w:line="360" w:lineRule="auto"/>
        <w:ind w:firstLine="480"/>
        <w:rPr>
          <w:rFonts w:ascii="宋体" w:hAnsi="宋体" w:eastAsia="宋体" w:cs="宋体"/>
        </w:rPr>
      </w:pPr>
      <w:r>
        <w:rPr>
          <w:rFonts w:hint="eastAsia" w:ascii="宋体" w:hAnsi="宋体" w:eastAsia="宋体" w:cs="宋体"/>
        </w:rPr>
        <w:t>3．因各种原因未能拒收的礼品、礼金将严格按照有关规定登记上交。</w:t>
      </w:r>
    </w:p>
    <w:p w14:paraId="426FC172">
      <w:pPr>
        <w:spacing w:line="360" w:lineRule="auto"/>
        <w:ind w:firstLine="480"/>
        <w:rPr>
          <w:rFonts w:ascii="宋体" w:hAnsi="宋体" w:eastAsia="宋体" w:cs="宋体"/>
        </w:rPr>
      </w:pPr>
      <w:r>
        <w:rPr>
          <w:rFonts w:hint="eastAsia" w:ascii="宋体" w:hAnsi="宋体" w:eastAsia="宋体" w:cs="宋体"/>
        </w:rPr>
        <w:t>4．依据合同约定解决相关纠纷，与卖方建立健康的、规范的合作关系。</w:t>
      </w:r>
    </w:p>
    <w:p w14:paraId="52C978C2">
      <w:pPr>
        <w:spacing w:line="360" w:lineRule="auto"/>
        <w:ind w:firstLine="480"/>
        <w:rPr>
          <w:rFonts w:ascii="宋体" w:hAnsi="宋体" w:eastAsia="宋体" w:cs="宋体"/>
        </w:rPr>
      </w:pPr>
      <w:r>
        <w:rPr>
          <w:rFonts w:hint="eastAsia" w:ascii="宋体" w:hAnsi="宋体" w:eastAsia="宋体" w:cs="宋体"/>
        </w:rPr>
        <w:t>二、卖方承诺：</w:t>
      </w:r>
    </w:p>
    <w:p w14:paraId="66F41345">
      <w:pPr>
        <w:spacing w:line="360" w:lineRule="auto"/>
        <w:ind w:firstLine="480"/>
        <w:rPr>
          <w:rFonts w:ascii="宋体" w:hAnsi="宋体" w:eastAsia="宋体" w:cs="宋体"/>
        </w:rPr>
      </w:pPr>
      <w:r>
        <w:rPr>
          <w:rFonts w:hint="eastAsia" w:ascii="宋体" w:hAnsi="宋体" w:eastAsia="宋体" w:cs="宋体"/>
        </w:rPr>
        <w:t>1．不以任何理由向买方工作人员馈赠礼品、红包或者组织宴请、娱乐、旅游等活动；不为买方人员报销通讯话费、交通费、餐费等各种费用；不以现金、有价证券和支付凭证等各种手段向买方工作人员行贿。</w:t>
      </w:r>
    </w:p>
    <w:p w14:paraId="5281232E">
      <w:pPr>
        <w:spacing w:line="360" w:lineRule="auto"/>
        <w:ind w:firstLine="480"/>
        <w:rPr>
          <w:rFonts w:ascii="宋体" w:hAnsi="宋体" w:eastAsia="宋体" w:cs="宋体"/>
        </w:rPr>
      </w:pPr>
      <w:r>
        <w:rPr>
          <w:rFonts w:hint="eastAsia" w:ascii="宋体" w:hAnsi="宋体" w:eastAsia="宋体" w:cs="宋体"/>
        </w:rPr>
        <w:t>2．若有违反本廉洁协议的行为，卖方愿意接受法律法规有关处罚。卖方向买方保证严格遵守国家法律法规有关廉洁的规定，积极配合买方做好反腐倡廉工作。</w:t>
      </w:r>
    </w:p>
    <w:p w14:paraId="29B60523">
      <w:pPr>
        <w:spacing w:line="360" w:lineRule="auto"/>
        <w:ind w:firstLine="480"/>
        <w:rPr>
          <w:rFonts w:ascii="宋体" w:hAnsi="宋体" w:eastAsia="宋体" w:cs="宋体"/>
        </w:rPr>
      </w:pPr>
      <w:r>
        <w:rPr>
          <w:rFonts w:hint="eastAsia" w:ascii="宋体" w:hAnsi="宋体" w:eastAsia="宋体" w:cs="宋体"/>
        </w:rPr>
        <w:t>三．买方工作人员保证严格遵守承诺，如有违反，卖方有权向买方及时检举揭发违规违纪事实。</w:t>
      </w:r>
    </w:p>
    <w:p w14:paraId="1218D883">
      <w:pPr>
        <w:spacing w:line="360" w:lineRule="auto"/>
        <w:ind w:firstLine="480"/>
        <w:rPr>
          <w:rFonts w:ascii="宋体" w:hAnsi="宋体" w:eastAsia="宋体" w:cs="宋体"/>
        </w:rPr>
      </w:pPr>
      <w:r>
        <w:rPr>
          <w:rFonts w:hint="eastAsia" w:ascii="宋体" w:hAnsi="宋体" w:eastAsia="宋体" w:cs="宋体"/>
        </w:rPr>
        <w:t xml:space="preserve">监督电话: </w:t>
      </w:r>
      <w:bookmarkStart w:id="0" w:name="_Hlk180766092"/>
      <w:r>
        <w:rPr>
          <w:rFonts w:hint="eastAsia" w:ascii="宋体" w:hAnsi="宋体" w:eastAsia="宋体" w:cs="宋体"/>
        </w:rPr>
        <w:t>0479-3838906</w:t>
      </w:r>
      <w:bookmarkEnd w:id="0"/>
      <w:r>
        <w:rPr>
          <w:rFonts w:hint="eastAsia" w:ascii="宋体" w:hAnsi="宋体" w:eastAsia="宋体" w:cs="宋体"/>
        </w:rPr>
        <w:t>；</w:t>
      </w:r>
    </w:p>
    <w:p w14:paraId="4624FEE2">
      <w:pPr>
        <w:spacing w:line="360" w:lineRule="auto"/>
        <w:ind w:firstLine="480"/>
        <w:rPr>
          <w:rFonts w:ascii="宋体" w:hAnsi="宋体" w:eastAsia="宋体" w:cs="宋体"/>
        </w:rPr>
      </w:pPr>
      <w:r>
        <w:rPr>
          <w:rFonts w:hint="eastAsia" w:ascii="宋体" w:hAnsi="宋体" w:eastAsia="宋体" w:cs="宋体"/>
        </w:rPr>
        <w:t>监督邮箱：CRP_XLGLJW_ZY@crpower.com.cn。</w:t>
      </w:r>
    </w:p>
    <w:p w14:paraId="78129CFB">
      <w:pPr>
        <w:spacing w:line="360" w:lineRule="auto"/>
        <w:ind w:firstLine="480"/>
        <w:rPr>
          <w:rFonts w:ascii="宋体" w:hAnsi="宋体" w:eastAsia="宋体" w:cs="宋体"/>
        </w:rPr>
      </w:pPr>
      <w:r>
        <w:rPr>
          <w:rFonts w:hint="eastAsia" w:ascii="宋体" w:hAnsi="宋体" w:eastAsia="宋体" w:cs="宋体"/>
        </w:rPr>
        <w:t>四．买、卖双方将严格执行国家有关廉洁管理规定，加强相互监督，一方违反的，另一方有权制止，直至向对方纪检监察部门举报查处。</w:t>
      </w:r>
    </w:p>
    <w:p w14:paraId="36DCDC8B">
      <w:pPr>
        <w:spacing w:line="360" w:lineRule="auto"/>
        <w:ind w:firstLine="480"/>
        <w:rPr>
          <w:rFonts w:ascii="宋体" w:hAnsi="宋体" w:eastAsia="宋体" w:cs="宋体"/>
        </w:rPr>
      </w:pPr>
      <w:r>
        <w:rPr>
          <w:rFonts w:hint="eastAsia" w:ascii="宋体" w:hAnsi="宋体" w:eastAsia="宋体" w:cs="宋体"/>
        </w:rPr>
        <w:t>五．本协议由买、卖双方纪委、纪检监察部门（如有）监督执行。</w:t>
      </w:r>
    </w:p>
    <w:p w14:paraId="3C39B2B5">
      <w:pPr>
        <w:rPr>
          <w:rFonts w:hint="eastAsia" w:ascii="宋体" w:hAnsi="宋体" w:eastAsia="宋体" w:cs="宋体"/>
          <w:lang w:val="en-US" w:eastAsia="zh-CN"/>
        </w:rPr>
      </w:pPr>
    </w:p>
    <w:p w14:paraId="219447FA">
      <w:pPr>
        <w:rPr>
          <w:rFonts w:hint="eastAsia" w:ascii="宋体" w:hAnsi="宋体" w:eastAsia="宋体" w:cs="宋体"/>
          <w:lang w:val="en-US" w:eastAsia="zh-CN"/>
        </w:rPr>
      </w:pPr>
    </w:p>
    <w:p w14:paraId="012173E9">
      <w:pPr>
        <w:rPr>
          <w:rFonts w:hint="default" w:ascii="宋体" w:hAnsi="宋体" w:eastAsia="宋体" w:cs="宋体"/>
          <w:lang w:val="en-US" w:eastAsia="zh-CN"/>
        </w:rPr>
      </w:pPr>
      <w:r>
        <w:rPr>
          <w:rFonts w:hint="eastAsia" w:ascii="宋体" w:hAnsi="宋体" w:eastAsia="宋体" w:cs="宋体"/>
          <w:lang w:val="en-US" w:eastAsia="zh-CN"/>
        </w:rPr>
        <w:t>（此页无正文）</w:t>
      </w:r>
    </w:p>
    <w:p w14:paraId="512AF54E">
      <w:pPr>
        <w:ind w:firstLine="480"/>
        <w:rPr>
          <w:rFonts w:ascii="宋体" w:hAnsi="宋体" w:eastAsia="宋体" w:cs="宋体"/>
        </w:rPr>
      </w:pPr>
    </w:p>
    <w:p w14:paraId="2F26000A">
      <w:pPr>
        <w:ind w:left="1260" w:hanging="1260" w:hangingChars="600"/>
        <w:rPr>
          <w:rFonts w:ascii="宋体" w:hAnsi="宋体" w:eastAsia="宋体" w:cs="宋体"/>
        </w:rPr>
      </w:pPr>
      <w:r>
        <w:rPr>
          <w:rFonts w:hint="eastAsia" w:ascii="宋体" w:hAnsi="宋体" w:eastAsia="宋体" w:cs="宋体"/>
        </w:rPr>
        <w:t xml:space="preserve">卖方名称：                                  买方名称：                                           </w:t>
      </w:r>
    </w:p>
    <w:p w14:paraId="2CC0630B">
      <w:pPr>
        <w:rPr>
          <w:rFonts w:hint="eastAsia" w:ascii="宋体" w:hAnsi="宋体" w:eastAsia="宋体" w:cs="宋体"/>
        </w:rPr>
      </w:pPr>
    </w:p>
    <w:p w14:paraId="3764F323">
      <w:pPr>
        <w:rPr>
          <w:rFonts w:ascii="宋体" w:hAnsi="宋体" w:eastAsia="宋体" w:cs="宋体"/>
        </w:rPr>
      </w:pPr>
      <w:r>
        <w:rPr>
          <w:rFonts w:hint="eastAsia" w:ascii="宋体" w:hAnsi="宋体" w:eastAsia="宋体" w:cs="宋体"/>
        </w:rPr>
        <w:t xml:space="preserve">华润电力（锡林郭勒）煤业有限公司                                                           </w:t>
      </w:r>
    </w:p>
    <w:p w14:paraId="366D2AAD">
      <w:pPr>
        <w:rPr>
          <w:rFonts w:hint="eastAsia" w:ascii="宋体" w:hAnsi="宋体" w:eastAsia="宋体" w:cs="宋体"/>
        </w:rPr>
      </w:pPr>
    </w:p>
    <w:p w14:paraId="76DC5EA5">
      <w:pPr>
        <w:rPr>
          <w:rFonts w:ascii="宋体" w:hAnsi="宋体" w:eastAsia="宋体" w:cs="宋体"/>
        </w:rPr>
      </w:pPr>
      <w:r>
        <w:rPr>
          <w:rFonts w:hint="eastAsia" w:ascii="宋体" w:hAnsi="宋体" w:eastAsia="宋体" w:cs="宋体"/>
        </w:rPr>
        <w:t>盖章及签字：                                盖章及签字：</w:t>
      </w:r>
    </w:p>
    <w:p w14:paraId="049035E9">
      <w:pPr>
        <w:ind w:firstLine="480"/>
        <w:rPr>
          <w:rFonts w:ascii="宋体" w:hAnsi="宋体" w:eastAsia="宋体" w:cs="宋体"/>
        </w:rPr>
      </w:pPr>
    </w:p>
    <w:p w14:paraId="0C90DFB4">
      <w:pPr>
        <w:ind w:firstLine="480"/>
        <w:rPr>
          <w:rFonts w:ascii="宋体" w:hAnsi="宋体" w:eastAsia="宋体" w:cs="宋体"/>
        </w:rPr>
      </w:pPr>
      <w:r>
        <w:rPr>
          <w:rFonts w:hint="eastAsia" w:ascii="宋体" w:hAnsi="宋体" w:eastAsia="宋体" w:cs="宋体"/>
        </w:rPr>
        <w:t>年   月   日                                年   月   日</w:t>
      </w:r>
    </w:p>
    <w:p w14:paraId="719A2BB5">
      <w:pPr>
        <w:ind w:firstLine="480"/>
        <w:rPr>
          <w:rFonts w:ascii="宋体" w:hAnsi="宋体" w:eastAsia="宋体" w:cs="宋体"/>
        </w:rPr>
      </w:pPr>
    </w:p>
    <w:p w14:paraId="3EFC4CA2">
      <w:pPr>
        <w:ind w:firstLine="480"/>
        <w:rPr>
          <w:rFonts w:ascii="宋体" w:hAnsi="宋体" w:eastAsia="宋体" w:cs="宋体"/>
        </w:rPr>
      </w:pPr>
    </w:p>
    <w:p w14:paraId="2AD920AA">
      <w:pPr>
        <w:ind w:firstLine="480"/>
        <w:rPr>
          <w:rFonts w:ascii="宋体" w:hAnsi="宋体" w:eastAsia="宋体" w:cs="宋体"/>
        </w:rPr>
      </w:pPr>
    </w:p>
    <w:p w14:paraId="29F8F55E">
      <w:pPr>
        <w:ind w:firstLine="480"/>
        <w:rPr>
          <w:rFonts w:ascii="宋体" w:hAnsi="宋体" w:eastAsia="宋体" w:cs="宋体"/>
        </w:rPr>
      </w:pPr>
    </w:p>
    <w:p w14:paraId="34D612BC">
      <w:pPr>
        <w:ind w:firstLine="480"/>
        <w:rPr>
          <w:rFonts w:ascii="宋体" w:hAnsi="宋体" w:eastAsia="宋体" w:cs="宋体"/>
        </w:rPr>
      </w:pPr>
    </w:p>
    <w:p w14:paraId="4BA6868C">
      <w:pPr>
        <w:ind w:firstLine="480"/>
        <w:rPr>
          <w:rFonts w:ascii="宋体" w:hAnsi="宋体" w:eastAsia="宋体" w:cs="宋体"/>
        </w:rPr>
      </w:pPr>
    </w:p>
    <w:p w14:paraId="3B6A3802">
      <w:pPr>
        <w:ind w:firstLine="480"/>
        <w:rPr>
          <w:rFonts w:ascii="宋体" w:hAnsi="宋体" w:eastAsia="宋体" w:cs="宋体"/>
        </w:rPr>
      </w:pPr>
    </w:p>
    <w:p w14:paraId="1E8D7B4A">
      <w:pPr>
        <w:ind w:firstLine="480"/>
        <w:rPr>
          <w:rFonts w:ascii="宋体" w:hAnsi="宋体" w:eastAsia="宋体" w:cs="宋体"/>
        </w:rPr>
      </w:pPr>
    </w:p>
    <w:p w14:paraId="64AC4088">
      <w:pPr>
        <w:ind w:firstLine="480"/>
        <w:rPr>
          <w:rFonts w:ascii="宋体" w:hAnsi="宋体" w:eastAsia="宋体" w:cs="宋体"/>
        </w:rPr>
      </w:pPr>
    </w:p>
    <w:p w14:paraId="59D3E989">
      <w:pPr>
        <w:ind w:firstLine="480"/>
        <w:rPr>
          <w:rFonts w:ascii="宋体" w:hAnsi="宋体" w:eastAsia="宋体" w:cs="宋体"/>
        </w:rPr>
      </w:pPr>
    </w:p>
    <w:p w14:paraId="76ADB528">
      <w:pPr>
        <w:ind w:firstLine="480"/>
        <w:rPr>
          <w:rFonts w:ascii="宋体" w:hAnsi="宋体" w:eastAsia="宋体" w:cs="宋体"/>
        </w:rPr>
      </w:pPr>
    </w:p>
    <w:p w14:paraId="19B2BF0E">
      <w:pPr>
        <w:ind w:firstLine="480"/>
        <w:rPr>
          <w:rFonts w:ascii="宋体" w:hAnsi="宋体" w:eastAsia="宋体" w:cs="宋体"/>
        </w:rPr>
      </w:pPr>
    </w:p>
    <w:p w14:paraId="667AE6B4">
      <w:pPr>
        <w:ind w:firstLine="480"/>
        <w:rPr>
          <w:rFonts w:ascii="宋体" w:hAnsi="宋体" w:eastAsia="宋体" w:cs="宋体"/>
        </w:rPr>
      </w:pPr>
    </w:p>
    <w:p w14:paraId="3D8B1649">
      <w:pPr>
        <w:ind w:firstLine="480"/>
        <w:rPr>
          <w:rFonts w:ascii="宋体" w:hAnsi="宋体" w:eastAsia="宋体" w:cs="宋体"/>
        </w:rPr>
      </w:pPr>
    </w:p>
    <w:p w14:paraId="7F74E809">
      <w:pPr>
        <w:ind w:firstLine="480"/>
        <w:rPr>
          <w:rFonts w:ascii="宋体" w:hAnsi="宋体" w:eastAsia="宋体" w:cs="宋体"/>
        </w:rPr>
      </w:pPr>
    </w:p>
    <w:p w14:paraId="6824D30D">
      <w:pPr>
        <w:ind w:firstLine="480"/>
        <w:rPr>
          <w:rFonts w:ascii="宋体" w:hAnsi="宋体" w:eastAsia="宋体" w:cs="宋体"/>
        </w:rPr>
      </w:pPr>
    </w:p>
    <w:p w14:paraId="2E849D5D">
      <w:pPr>
        <w:ind w:firstLine="480"/>
        <w:rPr>
          <w:rFonts w:ascii="宋体" w:hAnsi="宋体" w:eastAsia="宋体" w:cs="宋体"/>
        </w:rPr>
      </w:pPr>
    </w:p>
    <w:p w14:paraId="0F821639">
      <w:pPr>
        <w:ind w:firstLine="480"/>
        <w:rPr>
          <w:rFonts w:ascii="宋体" w:hAnsi="宋体" w:eastAsia="宋体" w:cs="宋体"/>
        </w:rPr>
      </w:pPr>
    </w:p>
    <w:p w14:paraId="7D64F1B6">
      <w:pPr>
        <w:ind w:firstLine="480"/>
        <w:rPr>
          <w:rFonts w:ascii="宋体" w:hAnsi="宋体" w:eastAsia="宋体" w:cs="宋体"/>
        </w:rPr>
      </w:pPr>
    </w:p>
    <w:p w14:paraId="2FC1498D">
      <w:pPr>
        <w:ind w:firstLine="480"/>
        <w:rPr>
          <w:rFonts w:ascii="宋体" w:hAnsi="宋体" w:eastAsia="宋体" w:cs="宋体"/>
        </w:rPr>
      </w:pPr>
    </w:p>
    <w:p w14:paraId="6B5D1BB4">
      <w:pPr>
        <w:ind w:firstLine="480"/>
        <w:rPr>
          <w:rFonts w:ascii="宋体" w:hAnsi="宋体" w:eastAsia="宋体" w:cs="宋体"/>
        </w:rPr>
      </w:pPr>
    </w:p>
    <w:p w14:paraId="2B0DB721">
      <w:pPr>
        <w:ind w:firstLine="480"/>
        <w:rPr>
          <w:rFonts w:ascii="宋体" w:hAnsi="宋体" w:eastAsia="宋体" w:cs="宋体"/>
        </w:rPr>
      </w:pPr>
    </w:p>
    <w:p w14:paraId="2682E650">
      <w:pPr>
        <w:ind w:firstLine="480"/>
        <w:rPr>
          <w:rFonts w:ascii="宋体" w:hAnsi="宋体" w:eastAsia="宋体" w:cs="宋体"/>
        </w:rPr>
      </w:pPr>
    </w:p>
    <w:p w14:paraId="33B617A1">
      <w:pPr>
        <w:ind w:firstLine="480"/>
        <w:rPr>
          <w:rFonts w:ascii="宋体" w:hAnsi="宋体" w:eastAsia="宋体" w:cs="宋体"/>
        </w:rPr>
      </w:pPr>
    </w:p>
    <w:p w14:paraId="4B70A81C">
      <w:pPr>
        <w:ind w:firstLine="480"/>
        <w:rPr>
          <w:rFonts w:ascii="宋体" w:hAnsi="宋体" w:eastAsia="宋体" w:cs="宋体"/>
        </w:rPr>
      </w:pPr>
    </w:p>
    <w:p w14:paraId="23BC62A6">
      <w:pPr>
        <w:ind w:firstLine="480"/>
        <w:rPr>
          <w:rFonts w:ascii="宋体" w:hAnsi="宋体" w:eastAsia="宋体" w:cs="宋体"/>
        </w:rPr>
      </w:pPr>
    </w:p>
    <w:p w14:paraId="3747D669">
      <w:pPr>
        <w:ind w:firstLine="480"/>
        <w:rPr>
          <w:rFonts w:ascii="宋体" w:hAnsi="宋体" w:eastAsia="宋体" w:cs="宋体"/>
        </w:rPr>
      </w:pPr>
    </w:p>
    <w:p w14:paraId="16C5EAEB">
      <w:pPr>
        <w:ind w:firstLine="480"/>
        <w:rPr>
          <w:rFonts w:ascii="宋体" w:hAnsi="宋体" w:eastAsia="宋体" w:cs="宋体"/>
        </w:rPr>
      </w:pPr>
    </w:p>
    <w:p w14:paraId="4D5656DE">
      <w:pPr>
        <w:ind w:firstLine="480"/>
        <w:rPr>
          <w:rFonts w:ascii="宋体" w:hAnsi="宋体" w:eastAsia="宋体" w:cs="宋体"/>
        </w:rPr>
      </w:pPr>
    </w:p>
    <w:p w14:paraId="3F39159C">
      <w:pPr>
        <w:ind w:firstLine="480"/>
        <w:rPr>
          <w:rFonts w:ascii="宋体" w:hAnsi="宋体" w:eastAsia="宋体" w:cs="宋体"/>
        </w:rPr>
      </w:pPr>
    </w:p>
    <w:p w14:paraId="1247EC87">
      <w:pPr>
        <w:ind w:firstLine="480"/>
        <w:rPr>
          <w:rFonts w:ascii="宋体" w:hAnsi="宋体" w:eastAsia="宋体" w:cs="宋体"/>
        </w:rPr>
      </w:pPr>
    </w:p>
    <w:p w14:paraId="7AE2D1E5">
      <w:pPr>
        <w:ind w:firstLine="480"/>
        <w:rPr>
          <w:rFonts w:ascii="宋体" w:hAnsi="宋体" w:eastAsia="宋体" w:cs="宋体"/>
        </w:rPr>
      </w:pPr>
    </w:p>
    <w:p w14:paraId="2A82D914">
      <w:pPr>
        <w:ind w:firstLine="480"/>
        <w:rPr>
          <w:rFonts w:ascii="宋体" w:hAnsi="宋体" w:eastAsia="宋体" w:cs="宋体"/>
        </w:rPr>
      </w:pPr>
    </w:p>
    <w:p w14:paraId="1B4B9EA6">
      <w:pPr>
        <w:ind w:firstLine="480"/>
        <w:rPr>
          <w:rFonts w:ascii="宋体" w:hAnsi="宋体" w:eastAsia="宋体" w:cs="宋体"/>
        </w:rPr>
      </w:pPr>
    </w:p>
    <w:p w14:paraId="5F315F0E">
      <w:pPr>
        <w:ind w:firstLine="480"/>
        <w:rPr>
          <w:rFonts w:ascii="宋体" w:hAnsi="宋体" w:eastAsia="宋体" w:cs="宋体"/>
        </w:rPr>
      </w:pPr>
    </w:p>
    <w:p w14:paraId="0162BEC5">
      <w:pPr>
        <w:widowControl/>
        <w:spacing w:line="720" w:lineRule="auto"/>
        <w:jc w:val="left"/>
        <w:rPr>
          <w:rFonts w:cs="宋体" w:asciiTheme="majorEastAsia" w:hAnsiTheme="majorEastAsia" w:eastAsiaTheme="majorEastAsia"/>
          <w:b/>
          <w:bCs/>
          <w:kern w:val="0"/>
          <w:u w:val="single"/>
        </w:rPr>
        <w:sectPr>
          <w:pgSz w:w="11906" w:h="16838"/>
          <w:pgMar w:top="1418" w:right="1701" w:bottom="1418" w:left="1701" w:header="851" w:footer="992" w:gutter="0"/>
          <w:cols w:space="720" w:num="1"/>
          <w:docGrid w:type="lines" w:linePitch="312" w:charSpace="0"/>
        </w:sectPr>
      </w:pPr>
    </w:p>
    <w:p w14:paraId="4D890249">
      <w:pPr>
        <w:adjustRightInd w:val="0"/>
        <w:snapToGrid w:val="0"/>
        <w:spacing w:line="720" w:lineRule="auto"/>
        <w:rPr>
          <w:rFonts w:asciiTheme="majorEastAsia" w:hAnsiTheme="majorEastAsia" w:eastAsiaTheme="majorEastAsia" w:cstheme="majorEastAsia"/>
          <w:szCs w:val="21"/>
        </w:rPr>
      </w:pPr>
      <w:r>
        <w:rPr>
          <w:rFonts w:hint="eastAsia" w:ascii="宋体" w:hAnsi="宋体" w:eastAsia="宋体" w:cs="宋体"/>
          <w:b/>
          <w:bCs/>
          <w:szCs w:val="21"/>
        </w:rPr>
        <w:t>附件</w:t>
      </w:r>
      <w:r>
        <w:rPr>
          <w:rFonts w:hint="eastAsia" w:ascii="宋体" w:hAnsi="宋体" w:eastAsia="宋体" w:cs="宋体"/>
          <w:b/>
          <w:bCs/>
          <w:szCs w:val="21"/>
          <w:lang w:val="en-US" w:eastAsia="zh-CN"/>
        </w:rPr>
        <w:t>2</w:t>
      </w:r>
      <w:r>
        <w:rPr>
          <w:rFonts w:hint="eastAsia" w:ascii="宋体" w:hAnsi="宋体" w:eastAsia="宋体" w:cs="宋体"/>
          <w:b/>
          <w:bCs/>
          <w:szCs w:val="21"/>
        </w:rPr>
        <w:t>：</w:t>
      </w:r>
    </w:p>
    <w:p w14:paraId="61449FD5">
      <w:pPr>
        <w:adjustRightInd w:val="0"/>
        <w:snapToGrid w:val="0"/>
        <w:spacing w:after="312" w:afterLines="100"/>
        <w:jc w:val="center"/>
        <w:rPr>
          <w:rFonts w:ascii="宋体" w:hAnsi="宋体" w:eastAsia="宋体" w:cs="宋体"/>
          <w:b/>
          <w:bCs/>
          <w:sz w:val="32"/>
          <w:szCs w:val="32"/>
        </w:rPr>
      </w:pPr>
      <w:r>
        <w:rPr>
          <w:rFonts w:hint="eastAsia" w:ascii="宋体" w:hAnsi="宋体" w:eastAsia="宋体" w:cs="宋体"/>
          <w:b/>
          <w:bCs/>
          <w:sz w:val="32"/>
          <w:szCs w:val="32"/>
        </w:rPr>
        <w:t>草原防火责任书</w:t>
      </w:r>
    </w:p>
    <w:p w14:paraId="08914988">
      <w:pPr>
        <w:adjustRightInd w:val="0"/>
        <w:snapToGrid w:val="0"/>
        <w:spacing w:line="360" w:lineRule="auto"/>
        <w:ind w:firstLine="480"/>
        <w:rPr>
          <w:rFonts w:ascii="宋体" w:hAnsi="宋体" w:eastAsia="宋体" w:cstheme="majorEastAsia"/>
          <w:sz w:val="24"/>
          <w:szCs w:val="21"/>
        </w:rPr>
      </w:pPr>
      <w:r>
        <w:rPr>
          <w:rFonts w:hint="eastAsia" w:ascii="宋体" w:hAnsi="宋体" w:eastAsia="宋体" w:cstheme="majorEastAsia"/>
          <w:szCs w:val="21"/>
        </w:rPr>
        <w:t>根据中华人民共和国《草原法》《国务院草原防火条例》《国务院关于特大安全事故行政责任追究的规定》《内蒙古自治区森林草原防火条例》《内蒙古自治区森林草原防火办法》，为加强草原资源保护和工程管理，全面落实草原管护责任制，承包人要从讲政治的高度，求稳定、促发展的大局，切实加强草原防火的组织领导，把防火工作作为首要的一项任务，摆在重要议事日程，切实抓好草原管护工作，有效地预防和扑救草原火灾，彻底杜绝草原火灾，结合西乌珠穆沁旗护草防火实际，现就有关责任明确如下：</w:t>
      </w:r>
    </w:p>
    <w:p w14:paraId="65A6C5BB">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一、在当地旗委、政府的统一领导和发包人的指挥下，开展预防和扑救草原火情行动（含火警、火灾）。</w:t>
      </w:r>
    </w:p>
    <w:p w14:paraId="6E98A2D2">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二、认真贯彻执行国家、省、州、县的草原防火法律、规章、办法、制度。严格按照承包人《扑救草原火灾预案》，组织扑火队伍，做到有备无患。落实草原防火责任制，搞好防火工作，如发生林火立即组织扑救，并将林火发生情况及时报告给当地苏木，再由当地苏木逐级上报一级主管单位。</w:t>
      </w:r>
    </w:p>
    <w:p w14:paraId="69F32D7E">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三、严格草区野外火源（特别是林区生产、生活用火）管理，开展施工区域的防火宣传、教育、巡护、和领导督查工作，强化对草原火灾的危害性认识。</w:t>
      </w:r>
    </w:p>
    <w:p w14:paraId="7B4D7C75">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四、乙方须组织员工学习草原防火条例、规章、办法、制度。划定责任区、签订草原防火责任书，严禁一切违章用火。要随时进行防火工作的督促检查，发现隐患及时整改。</w:t>
      </w:r>
    </w:p>
    <w:p w14:paraId="299383B4">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五、在草原防火期（根据内蒙古自治区森林草原防火办法，草原防火期为每年3月5日至6月15日，9月15日至11月15日），乙方项目部必须与当地草原管护单位加强联系，落实防火监督员，设置监督岗，对工程施工区域内的重点林区、重点地带、重点时段的护林防火进行检查。若乙方项目部草原防火责任不落实，措施不到位引发草原火灾，将严肃追求相关领导的连带责任。</w:t>
      </w:r>
    </w:p>
    <w:p w14:paraId="014E9B07">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六、在草原防火期实施爆破作业，以及其它形式的用火，要报经监理工程师审批同意，采取相应的安全保护措施后方可进行。如未经请示和没有相应得措施，违规操作的，则按《草原法》《草原防火条例》并将根据有关法律法规从严从重处理或责令其停止一切经营活动。</w:t>
      </w:r>
    </w:p>
    <w:p w14:paraId="17CFF199">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七、生产、生活用火引起草原火警、火灾造成损失的，责任单位和肇事者要承担法律和经济责任。</w:t>
      </w:r>
    </w:p>
    <w:p w14:paraId="564DAACD">
      <w:pPr>
        <w:adjustRightInd w:val="0"/>
        <w:snapToGrid w:val="0"/>
        <w:spacing w:line="360" w:lineRule="auto"/>
        <w:ind w:firstLine="480"/>
        <w:rPr>
          <w:rFonts w:ascii="宋体" w:hAnsi="宋体" w:eastAsia="宋体" w:cstheme="majorEastAsia"/>
          <w:szCs w:val="21"/>
        </w:rPr>
      </w:pPr>
      <w:r>
        <w:rPr>
          <w:rFonts w:hint="eastAsia" w:ascii="宋体" w:hAnsi="宋体" w:eastAsia="宋体" w:cstheme="majorEastAsia"/>
          <w:szCs w:val="21"/>
        </w:rPr>
        <w:t>八、责任书有效期限：合同签订之日起至合同终止日止。</w:t>
      </w:r>
    </w:p>
    <w:p w14:paraId="5D3136A7">
      <w:pPr>
        <w:adjustRightInd w:val="0"/>
        <w:snapToGrid w:val="0"/>
        <w:spacing w:line="360" w:lineRule="auto"/>
        <w:ind w:firstLine="480"/>
        <w:rPr>
          <w:rFonts w:ascii="宋体" w:hAnsi="宋体" w:eastAsia="宋体" w:cstheme="majorEastAsia"/>
          <w:szCs w:val="21"/>
        </w:rPr>
      </w:pPr>
    </w:p>
    <w:p w14:paraId="733C0689">
      <w:pPr>
        <w:adjustRightInd w:val="0"/>
        <w:snapToGrid w:val="0"/>
        <w:spacing w:line="360" w:lineRule="auto"/>
        <w:ind w:firstLine="480"/>
        <w:rPr>
          <w:rFonts w:ascii="宋体" w:hAnsi="宋体" w:eastAsia="宋体" w:cstheme="majorEastAsia"/>
          <w:szCs w:val="21"/>
        </w:rPr>
      </w:pPr>
    </w:p>
    <w:p w14:paraId="332D219F">
      <w:pPr>
        <w:ind w:left="1260" w:hanging="1260" w:hangingChars="600"/>
        <w:rPr>
          <w:rFonts w:hint="eastAsia" w:ascii="宋体" w:hAnsi="宋体" w:eastAsia="宋体" w:cs="宋体"/>
          <w:szCs w:val="21"/>
        </w:rPr>
      </w:pPr>
    </w:p>
    <w:p w14:paraId="0CCD171C">
      <w:pPr>
        <w:rPr>
          <w:rFonts w:hint="default" w:ascii="宋体" w:hAnsi="宋体" w:eastAsia="宋体" w:cs="宋体"/>
          <w:lang w:val="en-US" w:eastAsia="zh-CN"/>
        </w:rPr>
      </w:pPr>
      <w:r>
        <w:rPr>
          <w:rFonts w:hint="eastAsia" w:ascii="宋体" w:hAnsi="宋体" w:eastAsia="宋体" w:cs="宋体"/>
          <w:lang w:val="en-US" w:eastAsia="zh-CN"/>
        </w:rPr>
        <w:t>（此页无正文）</w:t>
      </w:r>
    </w:p>
    <w:p w14:paraId="60CCD9EC">
      <w:pPr>
        <w:rPr>
          <w:rFonts w:hint="eastAsia" w:ascii="宋体" w:hAnsi="宋体" w:eastAsia="宋体" w:cs="宋体"/>
          <w:szCs w:val="21"/>
        </w:rPr>
      </w:pPr>
    </w:p>
    <w:p w14:paraId="59E7C04E">
      <w:pPr>
        <w:ind w:left="1260" w:hanging="1260" w:hangingChars="600"/>
        <w:rPr>
          <w:rFonts w:ascii="宋体" w:hAnsi="宋体" w:eastAsia="宋体" w:cs="宋体"/>
          <w:sz w:val="24"/>
          <w:szCs w:val="21"/>
        </w:rPr>
      </w:pPr>
      <w:r>
        <w:rPr>
          <w:rFonts w:hint="eastAsia" w:ascii="宋体" w:hAnsi="宋体" w:eastAsia="宋体" w:cs="宋体"/>
          <w:szCs w:val="21"/>
        </w:rPr>
        <w:t xml:space="preserve">卖方名称：                                  买方名称：                                           </w:t>
      </w:r>
    </w:p>
    <w:p w14:paraId="34564F50">
      <w:pPr>
        <w:ind w:left="1260" w:hanging="1260" w:hangingChars="600"/>
        <w:rPr>
          <w:rFonts w:hint="eastAsia" w:ascii="宋体" w:hAnsi="宋体" w:eastAsia="宋体" w:cs="宋体"/>
          <w:szCs w:val="21"/>
        </w:rPr>
      </w:pPr>
    </w:p>
    <w:p w14:paraId="2A6DEC85">
      <w:pPr>
        <w:ind w:left="1260" w:hanging="1260" w:hangingChars="600"/>
        <w:rPr>
          <w:rFonts w:ascii="宋体" w:hAnsi="宋体" w:eastAsia="宋体" w:cs="宋体"/>
          <w:szCs w:val="21"/>
        </w:rPr>
      </w:pPr>
      <w:r>
        <w:rPr>
          <w:rFonts w:hint="eastAsia" w:ascii="宋体" w:hAnsi="宋体" w:eastAsia="宋体" w:cs="宋体"/>
          <w:szCs w:val="21"/>
        </w:rPr>
        <w:t xml:space="preserve">华润电力（锡林郭勒）煤业有限公司            </w:t>
      </w:r>
      <w:r>
        <w:rPr>
          <w:rFonts w:hint="eastAsia" w:ascii="宋体" w:hAnsi="宋体" w:eastAsia="宋体" w:cs="宋体"/>
        </w:rPr>
        <w:t xml:space="preserve"> </w:t>
      </w:r>
      <w:r>
        <w:rPr>
          <w:rFonts w:hint="eastAsia" w:ascii="宋体" w:hAnsi="宋体" w:eastAsia="宋体" w:cs="宋体"/>
          <w:szCs w:val="21"/>
        </w:rPr>
        <w:t xml:space="preserve"> </w:t>
      </w:r>
    </w:p>
    <w:p w14:paraId="15215E97">
      <w:pPr>
        <w:ind w:left="1260" w:hanging="1260" w:hangingChars="600"/>
        <w:rPr>
          <w:rFonts w:ascii="宋体" w:hAnsi="宋体" w:eastAsia="宋体" w:cs="宋体"/>
          <w:szCs w:val="21"/>
        </w:rPr>
      </w:pPr>
      <w:r>
        <w:rPr>
          <w:rFonts w:hint="eastAsia" w:ascii="宋体" w:hAnsi="宋体" w:eastAsia="宋体" w:cs="宋体"/>
          <w:szCs w:val="21"/>
        </w:rPr>
        <w:t xml:space="preserve">                                                             </w:t>
      </w:r>
    </w:p>
    <w:p w14:paraId="46F52458">
      <w:pPr>
        <w:rPr>
          <w:rFonts w:ascii="宋体" w:hAnsi="宋体" w:eastAsia="宋体" w:cs="宋体"/>
          <w:szCs w:val="21"/>
        </w:rPr>
      </w:pPr>
      <w:r>
        <w:rPr>
          <w:rFonts w:hint="eastAsia" w:ascii="宋体" w:hAnsi="宋体" w:eastAsia="宋体" w:cs="宋体"/>
          <w:szCs w:val="21"/>
        </w:rPr>
        <w:t>盖章及签字：                                盖章及签字：</w:t>
      </w:r>
    </w:p>
    <w:p w14:paraId="66E90B69">
      <w:pPr>
        <w:ind w:firstLine="480"/>
        <w:rPr>
          <w:rFonts w:ascii="宋体" w:hAnsi="宋体" w:eastAsia="宋体" w:cs="宋体"/>
          <w:szCs w:val="21"/>
        </w:rPr>
      </w:pPr>
    </w:p>
    <w:p w14:paraId="07F5799A">
      <w:pPr>
        <w:ind w:firstLine="420" w:firstLineChars="200"/>
      </w:pPr>
      <w:r>
        <w:rPr>
          <w:rFonts w:hint="eastAsia" w:ascii="宋体" w:hAnsi="宋体" w:eastAsia="宋体" w:cs="宋体"/>
          <w:szCs w:val="21"/>
        </w:rPr>
        <w:t>年   月   日                               年   月   日</w:t>
      </w:r>
    </w:p>
    <w:p w14:paraId="31F66C9E"/>
    <w:sectPr>
      <w:headerReference r:id="rId5" w:type="first"/>
      <w:footerReference r:id="rId8" w:type="first"/>
      <w:headerReference r:id="rId3" w:type="default"/>
      <w:footerReference r:id="rId6" w:type="default"/>
      <w:headerReference r:id="rId4" w:type="even"/>
      <w:footerReference r:id="rId7" w:type="even"/>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8647163"/>
      <w:docPartObj>
        <w:docPartGallery w:val="autotext"/>
      </w:docPartObj>
    </w:sdtPr>
    <w:sdtContent>
      <w:sdt>
        <w:sdtPr>
          <w:id w:val="-1705238520"/>
          <w:docPartObj>
            <w:docPartGallery w:val="autotext"/>
          </w:docPartObj>
        </w:sdtPr>
        <w:sdtContent>
          <w:p w14:paraId="5C87B673">
            <w:pPr>
              <w:pStyle w:val="2"/>
              <w:ind w:firstLine="360"/>
              <w:jc w:val="center"/>
            </w:pPr>
            <w:r>
              <w:rPr>
                <w:lang w:val="zh-CN"/>
              </w:rPr>
              <w:t xml:space="preserve"> </w:t>
            </w:r>
            <w:r>
              <w:rPr>
                <w:b/>
                <w:bCs/>
                <w:sz w:val="24"/>
              </w:rPr>
              <w:fldChar w:fldCharType="begin"/>
            </w:r>
            <w:r>
              <w:rPr>
                <w:b/>
                <w:bCs/>
              </w:rPr>
              <w:instrText xml:space="preserve">PAGE</w:instrText>
            </w:r>
            <w:r>
              <w:rPr>
                <w:b/>
                <w:bCs/>
                <w:sz w:val="24"/>
              </w:rPr>
              <w:fldChar w:fldCharType="separate"/>
            </w:r>
            <w:r>
              <w:rPr>
                <w:b/>
                <w:bCs/>
              </w:rPr>
              <w:t>17</w:t>
            </w:r>
            <w:r>
              <w:rPr>
                <w:b/>
                <w:bCs/>
                <w:sz w:val="24"/>
              </w:rPr>
              <w:fldChar w:fldCharType="end"/>
            </w:r>
            <w:r>
              <w:rPr>
                <w:lang w:val="zh-CN"/>
              </w:rPr>
              <w:t xml:space="preserve"> / </w:t>
            </w:r>
            <w:r>
              <w:rPr>
                <w:b/>
                <w:bCs/>
                <w:sz w:val="24"/>
              </w:rPr>
              <w:fldChar w:fldCharType="begin"/>
            </w:r>
            <w:r>
              <w:rPr>
                <w:b/>
                <w:bCs/>
              </w:rPr>
              <w:instrText xml:space="preserve">NUMPAGES</w:instrText>
            </w:r>
            <w:r>
              <w:rPr>
                <w:b/>
                <w:bCs/>
                <w:sz w:val="24"/>
              </w:rPr>
              <w:fldChar w:fldCharType="separate"/>
            </w:r>
            <w:r>
              <w:rPr>
                <w:b/>
                <w:bCs/>
              </w:rPr>
              <w:t>17</w:t>
            </w:r>
            <w:r>
              <w:rPr>
                <w:b/>
                <w:bCs/>
                <w:sz w:val="24"/>
              </w:rPr>
              <w:fldChar w:fldCharType="end"/>
            </w:r>
          </w:p>
        </w:sdtContent>
      </w:sdt>
    </w:sdtContent>
  </w:sdt>
  <w:p w14:paraId="78AECF0C">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38A2B">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84BA7">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BDD38">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9B959">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E7F5">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E31C8"/>
    <w:rsid w:val="0B375F7D"/>
    <w:rsid w:val="167C3AA0"/>
    <w:rsid w:val="32BF0E48"/>
    <w:rsid w:val="37B607FC"/>
    <w:rsid w:val="3C435707"/>
    <w:rsid w:val="4F5F1347"/>
    <w:rsid w:val="5D573A29"/>
    <w:rsid w:val="609C1804"/>
    <w:rsid w:val="6DB517F1"/>
    <w:rsid w:val="79FC0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3</TotalTime>
  <ScaleCrop>false</ScaleCrop>
  <LinksUpToDate>false</LinksUpToDate>
  <CharactersWithSpaces>0</CharactersWithSpaces>
  <Application>WPS Office_12.8.2.21215_F1E327BC-269C-435d-A152-05C5408002CA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2025-12-08T07:12:00Z</dcterms:created>
  <dc:creator>14019</dc:creator>
  <cp:lastModifiedBy>郭宇成</cp:lastModifiedBy>
  <dcterms:modified xsi:type="dcterms:W3CDTF">2026-03-06T11:16:00Z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2052-12.8.2.21215</vt:lpwstr>
  </property>
  <property fmtid="{D5CDD505-2E9C-101B-9397-08002B2CF9AE}" pid="3" name="ICV">
    <vt:lpwstr>585D0B48EFD14729A245932EB45559A7_13</vt:lpwstr>
  </property>
</Properties>
</file>